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5A794">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29</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501048</w:t>
      </w:r>
    </w:p>
    <w:p w14:paraId="204D30C9">
      <w:pPr>
        <w:overflowPunct w:val="0"/>
        <w:autoSpaceDE w:val="0"/>
        <w:autoSpaceDN w:val="0"/>
        <w:adjustRightInd w:val="0"/>
        <w:spacing w:line="360" w:lineRule="auto"/>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Athens, GR, 17</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-21</w:t>
      </w:r>
      <w:bookmarkStart w:id="0" w:name="_GoBack"/>
      <w:r>
        <w:rPr>
          <w:rFonts w:hint="eastAsia" w:ascii="Arial" w:hAnsi="Arial" w:eastAsia="宋体" w:cs="Arial"/>
          <w:b/>
          <w:bCs/>
          <w:kern w:val="0"/>
          <w:sz w:val="24"/>
          <w:szCs w:val="24"/>
          <w:vertAlign w:val="superscript"/>
          <w:lang w:val="en-US" w:eastAsia="zh-CN"/>
        </w:rPr>
        <w:t>st</w:t>
      </w:r>
      <w:bookmarkEnd w:id="0"/>
      <w:r>
        <w:rPr>
          <w:rFonts w:hint="eastAsia" w:ascii="Arial" w:hAnsi="Arial" w:eastAsia="宋体" w:cs="Arial"/>
          <w:b/>
          <w:bCs/>
          <w:kern w:val="0"/>
          <w:sz w:val="24"/>
          <w:szCs w:val="24"/>
          <w:lang w:val="en-US" w:eastAsia="zh-CN"/>
        </w:rPr>
        <w:t xml:space="preserve"> February 2025</w:t>
      </w:r>
    </w:p>
    <w:p w14:paraId="0B32D4D1">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12E4DCD7">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1.2.2</w:t>
      </w:r>
    </w:p>
    <w:p w14:paraId="0AFEC942">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9F435AE">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LCM for UE-sided model for BM</w:t>
      </w:r>
    </w:p>
    <w:p w14:paraId="77AA7886">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14:paraId="509CEA55">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2BD8943E">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2A808A9F">
      <w:pPr>
        <w:widowControl/>
        <w:spacing w:after="180"/>
        <w:rPr>
          <w:rFonts w:ascii="Arial" w:hAnsi="Arial" w:eastAsia="宋体" w:cs="Arial"/>
          <w:kern w:val="0"/>
          <w:sz w:val="20"/>
          <w:szCs w:val="20"/>
          <w:lang w:val="en-GB" w:eastAsia="en-US"/>
        </w:rPr>
      </w:pPr>
      <w:r>
        <w:rPr>
          <w:rFonts w:hint="eastAsia" w:ascii="Arial" w:hAnsi="Arial" w:cs="Arial"/>
          <w:sz w:val="20"/>
          <w:szCs w:val="20"/>
          <w:lang w:val="en-US" w:eastAsia="zh-CN"/>
        </w:rPr>
        <w:t>In last meeting [1], RAN2 discussed LCM for UE-sided model for BM and achieved the following agreements</w:t>
      </w:r>
      <w:r>
        <w:rPr>
          <w:rFonts w:hint="eastAsia" w:ascii="Arial" w:hAnsi="Arial" w:cs="Arial"/>
          <w:sz w:val="20"/>
          <w:szCs w:val="20"/>
        </w:rPr>
        <w:t>.</w:t>
      </w:r>
      <w:r>
        <w:rPr>
          <w:rFonts w:ascii="Arial" w:hAnsi="Arial" w:eastAsia="宋体" w:cs="Arial"/>
          <w:kern w:val="0"/>
          <w:sz w:val="20"/>
          <w:szCs w:val="20"/>
          <w:lang w:val="en-GB" w:eastAsia="en-US"/>
        </w:rPr>
        <w:t xml:space="preserve"> </w:t>
      </w:r>
    </w:p>
    <w:p w14:paraId="5B75CFBB">
      <w:pPr>
        <w:pStyle w:val="25"/>
        <w:pBdr>
          <w:top w:val="single" w:color="auto" w:sz="4" w:space="1"/>
          <w:left w:val="single" w:color="auto" w:sz="4" w:space="4"/>
          <w:bottom w:val="single" w:color="auto" w:sz="4" w:space="1"/>
          <w:right w:val="single" w:color="auto" w:sz="4" w:space="4"/>
        </w:pBdr>
        <w:rPr>
          <w:rFonts w:hint="default" w:ascii="Arial" w:hAnsi="Arial" w:cs="Arial"/>
          <w:b/>
          <w:bCs/>
          <w:sz w:val="20"/>
          <w:szCs w:val="22"/>
          <w:lang w:val="en-US"/>
        </w:rPr>
      </w:pPr>
      <w:r>
        <w:rPr>
          <w:rFonts w:hint="default" w:ascii="Arial" w:hAnsi="Arial" w:cs="Arial"/>
          <w:b/>
          <w:bCs/>
          <w:sz w:val="20"/>
          <w:szCs w:val="22"/>
          <w:lang w:val="en-US"/>
        </w:rPr>
        <w:t xml:space="preserve">Agreements </w:t>
      </w:r>
    </w:p>
    <w:p w14:paraId="5EAD748A">
      <w:pPr>
        <w:pStyle w:val="25"/>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When a functionality configured by the network to be reported via UAI, becomes from non-applicable to applicable, the UE can reports it to the network.   FFS detailed design</w:t>
      </w:r>
    </w:p>
    <w:p w14:paraId="2662F015">
      <w:pPr>
        <w:pStyle w:val="25"/>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When a functionality becomes non-applicable the UE doesn’t autonomously deactivate. NW is expected to deactivate active functionality when it receives report from UE that it is non-applicable.</w:t>
      </w:r>
    </w:p>
    <w:p w14:paraId="15DB1ED9">
      <w:pPr>
        <w:pStyle w:val="25"/>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FFS whether the UE reports explicitly “non-applicable” functionality when there is a change of applicability.   Verify this aligns with RAN1 configuration design</w:t>
      </w:r>
    </w:p>
    <w:p w14:paraId="414365D6">
      <w:pPr>
        <w:pStyle w:val="25"/>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RRCReconfigurationComplete or in UAI) to the target gNB after completing the handover.   </w:t>
      </w:r>
    </w:p>
    <w:p w14:paraId="0E7C9471">
      <w:pPr>
        <w:pStyle w:val="25"/>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 xml:space="preserve">Source cell UAI (as is) can be sent from source cell to target cell using existing signaling.   No further optimizations will be considered in RAN2 related to UAI.  </w:t>
      </w:r>
    </w:p>
    <w:p w14:paraId="14C0361B">
      <w:pPr>
        <w:pStyle w:val="25"/>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For BM use case for UE-side model, data collection related configuration(s) (e.g., measurement resources configuration) and associated ID(s) can be included in training data collection configuration.</w:t>
      </w:r>
    </w:p>
    <w:p w14:paraId="127E659C">
      <w:pPr>
        <w:pStyle w:val="25"/>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 xml:space="preserve">For data collection configuration UE-side model training, the UE can send a request for data collection.   FFS what the request contains.    </w:t>
      </w:r>
    </w:p>
    <w:p w14:paraId="23A89166">
      <w:pPr>
        <w:pStyle w:val="25"/>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 xml:space="preserve">The network can provide the data collection configuration (at any point in time), with or without UE request.    </w:t>
      </w:r>
    </w:p>
    <w:p w14:paraId="05BB15A8">
      <w:pPr>
        <w:pStyle w:val="25"/>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The following methods for network control of the initiation and configuration for data collection:</w:t>
      </w:r>
    </w:p>
    <w:p w14:paraId="1730641A">
      <w:pPr>
        <w:pStyle w:val="25"/>
        <w:pBdr>
          <w:top w:val="single" w:color="auto" w:sz="4" w:space="1"/>
          <w:left w:val="single" w:color="auto" w:sz="4" w:space="4"/>
          <w:bottom w:val="single" w:color="auto" w:sz="4" w:space="1"/>
          <w:right w:val="single" w:color="auto" w:sz="4" w:space="4"/>
        </w:pBdr>
        <w:ind w:left="1619" w:firstLine="0"/>
        <w:rPr>
          <w:rFonts w:hint="default" w:ascii="Arial" w:hAnsi="Arial" w:cs="Arial"/>
          <w:sz w:val="20"/>
          <w:szCs w:val="22"/>
          <w:lang w:val="en-US"/>
        </w:rPr>
      </w:pPr>
      <w:r>
        <w:rPr>
          <w:rFonts w:hint="default" w:ascii="Arial" w:hAnsi="Arial" w:cs="Arial"/>
          <w:sz w:val="20"/>
          <w:szCs w:val="22"/>
          <w:lang w:val="en-US"/>
        </w:rPr>
        <w:t>- The network can decide when to start/stop the data collection and send configuration.</w:t>
      </w:r>
    </w:p>
    <w:p w14:paraId="3674DD4C">
      <w:pPr>
        <w:pStyle w:val="25"/>
        <w:pBdr>
          <w:top w:val="single" w:color="auto" w:sz="4" w:space="1"/>
          <w:left w:val="single" w:color="auto" w:sz="4" w:space="4"/>
          <w:bottom w:val="single" w:color="auto" w:sz="4" w:space="1"/>
          <w:right w:val="single" w:color="auto" w:sz="4" w:space="4"/>
        </w:pBdr>
        <w:ind w:left="1619" w:firstLine="0"/>
        <w:rPr>
          <w:rFonts w:hint="default" w:ascii="Arial" w:hAnsi="Arial" w:cs="Arial"/>
          <w:sz w:val="20"/>
          <w:szCs w:val="22"/>
          <w:lang w:val="en-US"/>
        </w:rPr>
      </w:pPr>
      <w:r>
        <w:rPr>
          <w:rFonts w:hint="default" w:ascii="Arial" w:hAnsi="Arial" w:cs="Arial"/>
          <w:sz w:val="20"/>
          <w:szCs w:val="22"/>
          <w:lang w:val="en-US"/>
        </w:rPr>
        <w:t>- The network can configure whether UE is allowed to initiate request for data collection.</w:t>
      </w:r>
    </w:p>
    <w:p w14:paraId="5738FDE1">
      <w:pPr>
        <w:pStyle w:val="25"/>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 xml:space="preserve">FFS whether an indication from UE to network is needed when UE can’t perform data collection based on received configuration </w:t>
      </w:r>
    </w:p>
    <w:p w14:paraId="4591BD69">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RAN1 sent reply LS [2] on applicable functionality reporting for beam management UE-sided model in last meeting.</w:t>
      </w:r>
    </w:p>
    <w:p w14:paraId="02213538">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lang w:val="en-US" w:eastAsia="zh-CN"/>
        </w:rPr>
        <w:t>T</w:t>
      </w:r>
      <w:r>
        <w:rPr>
          <w:rFonts w:ascii="Arial" w:hAnsi="Arial" w:eastAsia="宋体" w:cs="Arial"/>
          <w:kern w:val="0"/>
          <w:sz w:val="20"/>
          <w:szCs w:val="20"/>
          <w:lang w:val="en-GB"/>
        </w:rPr>
        <w:t>his contribution</w:t>
      </w:r>
      <w:r>
        <w:rPr>
          <w:rFonts w:ascii="Arial" w:hAnsi="Arial" w:cs="Arial"/>
          <w:sz w:val="20"/>
          <w:szCs w:val="20"/>
        </w:rPr>
        <w:t xml:space="preserve"> </w:t>
      </w:r>
      <w:r>
        <w:rPr>
          <w:rFonts w:hint="eastAsia" w:ascii="Arial" w:hAnsi="Arial" w:cs="Arial"/>
          <w:sz w:val="20"/>
          <w:szCs w:val="20"/>
        </w:rPr>
        <w:t xml:space="preserve">will </w:t>
      </w:r>
      <w:r>
        <w:rPr>
          <w:rFonts w:hint="eastAsia" w:ascii="Arial" w:hAnsi="Arial" w:cs="Arial"/>
          <w:sz w:val="20"/>
          <w:szCs w:val="20"/>
          <w:lang w:val="en-US" w:eastAsia="zh-CN"/>
        </w:rPr>
        <w:t>discuss</w:t>
      </w:r>
      <w:r>
        <w:rPr>
          <w:rFonts w:hint="eastAsia" w:ascii="Arial" w:hAnsi="Arial" w:eastAsia="宋体" w:cs="Arial"/>
          <w:kern w:val="0"/>
          <w:sz w:val="20"/>
          <w:szCs w:val="20"/>
          <w:lang w:val="en-US" w:eastAsia="zh-CN"/>
        </w:rPr>
        <w:t xml:space="preserve"> the</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remaining issues on </w:t>
      </w:r>
      <w:r>
        <w:rPr>
          <w:rFonts w:hint="eastAsia" w:ascii="Arial" w:hAnsi="Arial" w:eastAsia="宋体" w:cs="Arial"/>
          <w:i w:val="0"/>
          <w:iCs/>
          <w:sz w:val="20"/>
          <w:szCs w:val="21"/>
          <w:lang w:val="en-US" w:eastAsia="zh-CN"/>
        </w:rPr>
        <w:t>UE</w:t>
      </w:r>
      <w:r>
        <w:rPr>
          <w:rFonts w:hint="eastAsia" w:ascii="Arial" w:hAnsi="Arial" w:eastAsia="宋体" w:cs="Arial"/>
          <w:kern w:val="0"/>
          <w:sz w:val="20"/>
          <w:szCs w:val="20"/>
          <w:lang w:val="en-US" w:eastAsia="zh-CN"/>
        </w:rPr>
        <w:t>-sided model LCM for beam management use case</w:t>
      </w:r>
      <w:r>
        <w:rPr>
          <w:rFonts w:ascii="Arial" w:hAnsi="Arial" w:eastAsia="宋体" w:cs="Arial"/>
          <w:kern w:val="0"/>
          <w:sz w:val="20"/>
          <w:szCs w:val="20"/>
          <w:lang w:val="en-GB"/>
        </w:rPr>
        <w:t>.</w:t>
      </w:r>
    </w:p>
    <w:p w14:paraId="2440A207">
      <w:pPr>
        <w:widowControl/>
        <w:spacing w:before="120" w:beforeLines="50" w:after="180"/>
        <w:rPr>
          <w:rFonts w:ascii="Arial" w:hAnsi="Arial" w:eastAsia="宋体" w:cs="Arial"/>
          <w:kern w:val="0"/>
          <w:sz w:val="20"/>
          <w:szCs w:val="20"/>
          <w:lang w:val="en-GB"/>
        </w:rPr>
      </w:pPr>
    </w:p>
    <w:p w14:paraId="76131D78">
      <w:pPr>
        <w:keepNext/>
        <w:keepLines/>
        <w:widowControl/>
        <w:numPr>
          <w:ilvl w:val="0"/>
          <w:numId w:val="7"/>
        </w:numPr>
        <w:pBdr>
          <w:top w:val="single" w:color="auto" w:sz="12" w:space="3"/>
        </w:pBdr>
        <w:spacing w:before="240" w:after="180"/>
        <w:ind w:left="1134" w:hanging="1134"/>
        <w:jc w:val="left"/>
        <w:outlineLvl w:val="0"/>
        <w:rPr>
          <w:rFonts w:hint="default" w:ascii="Arial" w:hAnsi="Arial" w:cs="Arial"/>
          <w:b/>
          <w:bCs w:val="0"/>
          <w:sz w:val="28"/>
          <w:szCs w:val="28"/>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2EE4F47B">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2.1 Applicable functionality reporting</w:t>
      </w:r>
    </w:p>
    <w:p w14:paraId="012FDB4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0"/>
          <w:szCs w:val="20"/>
          <w:lang w:val="en-US" w:eastAsia="zh-CN"/>
        </w:rPr>
      </w:pPr>
      <w:r>
        <w:rPr>
          <w:rFonts w:hint="eastAsia" w:ascii="Arial" w:hAnsi="Arial" w:cs="Arial"/>
          <w:sz w:val="20"/>
          <w:szCs w:val="20"/>
          <w:lang w:val="en-US" w:eastAsia="zh-CN"/>
        </w:rPr>
        <w:t xml:space="preserve">In last meeting, RAN2 agreed that when a functionality configured by the network to be reported via UAI, becomes from non-applicable to applicable, the UE can reports it to the network. FFS whether the UE reports explicitly </w:t>
      </w:r>
      <w:r>
        <w:rPr>
          <w:rFonts w:hint="default" w:ascii="Arial" w:hAnsi="Arial" w:cs="Arial"/>
          <w:sz w:val="20"/>
          <w:szCs w:val="20"/>
          <w:lang w:val="en-US" w:eastAsia="zh-CN"/>
        </w:rPr>
        <w:t>“</w:t>
      </w:r>
      <w:r>
        <w:rPr>
          <w:rFonts w:hint="eastAsia" w:ascii="Arial" w:hAnsi="Arial" w:cs="Arial"/>
          <w:sz w:val="20"/>
          <w:szCs w:val="20"/>
          <w:lang w:val="en-US" w:eastAsia="zh-CN"/>
        </w:rPr>
        <w:t>non-applicable</w:t>
      </w:r>
      <w:r>
        <w:rPr>
          <w:rFonts w:hint="default" w:ascii="Arial" w:hAnsi="Arial" w:cs="Arial"/>
          <w:sz w:val="20"/>
          <w:szCs w:val="20"/>
          <w:lang w:val="en-US" w:eastAsia="zh-CN"/>
        </w:rPr>
        <w:t>”</w:t>
      </w:r>
      <w:r>
        <w:rPr>
          <w:rFonts w:hint="eastAsia" w:ascii="Arial" w:hAnsi="Arial" w:cs="Arial"/>
          <w:sz w:val="20"/>
          <w:szCs w:val="20"/>
          <w:lang w:val="en-US" w:eastAsia="zh-CN"/>
        </w:rPr>
        <w:t xml:space="preserve"> functionality when there is a change of applicability. We understand that a smart network can be aware of the non-applicable functionality based on latest applicable functionality reporting and last reporting. There is no need to report the non-applicable functionality explicitly.</w:t>
      </w:r>
    </w:p>
    <w:p w14:paraId="227A4B6D">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sz w:val="20"/>
          <w:szCs w:val="20"/>
          <w:lang w:val="en-US" w:eastAsia="zh-CN"/>
        </w:rPr>
      </w:pPr>
      <w:r>
        <w:rPr>
          <w:rFonts w:hint="eastAsia" w:ascii="Arial" w:hAnsi="Arial" w:cs="Arial"/>
          <w:b/>
          <w:bCs/>
          <w:sz w:val="20"/>
          <w:szCs w:val="20"/>
          <w:lang w:val="en-US" w:eastAsia="zh-CN"/>
        </w:rPr>
        <w:t>Proposal 1: An explicit non-applicable functionality reporting to the network is not needed, since it can be indicated implicitly based on latest and last applicable functionality reporting.</w:t>
      </w:r>
    </w:p>
    <w:p w14:paraId="397D056A">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0"/>
          <w:lang w:val="en-US" w:eastAsia="zh-CN"/>
        </w:rPr>
      </w:pPr>
      <w:r>
        <w:rPr>
          <w:rFonts w:hint="eastAsia" w:ascii="Arial" w:hAnsi="Arial" w:cs="Arial"/>
          <w:sz w:val="20"/>
          <w:szCs w:val="20"/>
          <w:lang w:val="en-US" w:eastAsia="zh-CN"/>
        </w:rPr>
        <w:t xml:space="preserve">In RAN1 reply LS [2], RAN1 discussed two options to decide applicable functionality, A) CSI-ReportConifg for inference configuration or B) inference related parameters which is not for inference. If the UE has already been configured with </w:t>
      </w:r>
      <w:r>
        <w:rPr>
          <w:rFonts w:hint="eastAsia" w:ascii="Arial" w:hAnsi="Arial" w:cs="Arial"/>
          <w:i/>
          <w:iCs/>
          <w:sz w:val="20"/>
          <w:szCs w:val="20"/>
          <w:lang w:val="en-US" w:eastAsia="zh-CN"/>
        </w:rPr>
        <w:t>CSI-ReportConfig</w:t>
      </w:r>
      <w:r>
        <w:rPr>
          <w:rFonts w:hint="eastAsia" w:ascii="Arial" w:hAnsi="Arial" w:cs="Arial"/>
          <w:sz w:val="20"/>
          <w:szCs w:val="20"/>
          <w:lang w:val="en-US" w:eastAsia="zh-CN"/>
        </w:rPr>
        <w:t xml:space="preserve"> in Step 3, i.e. option A) is used, Step 5 may be optional, which aligns with RAN2 agreements before.</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224E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14:paraId="7CC6F5C5">
            <w:pPr>
              <w:spacing w:after="0"/>
              <w:rPr>
                <w:rFonts w:hint="default" w:ascii="Arial" w:hAnsi="Arial" w:eastAsia="等线" w:cs="Arial"/>
                <w:sz w:val="20"/>
                <w:szCs w:val="21"/>
                <w:highlight w:val="green"/>
                <w:lang w:eastAsia="zh-CN"/>
              </w:rPr>
            </w:pPr>
            <w:r>
              <w:rPr>
                <w:rFonts w:hint="default" w:ascii="Arial" w:hAnsi="Arial" w:eastAsia="等线" w:cs="Arial"/>
                <w:sz w:val="20"/>
                <w:szCs w:val="21"/>
                <w:highlight w:val="green"/>
                <w:lang w:eastAsia="zh-CN"/>
              </w:rPr>
              <w:t>Agreement</w:t>
            </w:r>
          </w:p>
          <w:p w14:paraId="77CF7E86">
            <w:pPr>
              <w:numPr>
                <w:ilvl w:val="0"/>
                <w:numId w:val="8"/>
              </w:numPr>
              <w:adjustRightInd w:val="0"/>
              <w:snapToGrid w:val="0"/>
              <w:spacing w:after="0" w:line="240" w:lineRule="auto"/>
              <w:rPr>
                <w:rFonts w:hint="default" w:ascii="Arial" w:hAnsi="Arial" w:eastAsia="Times New Roman" w:cs="Arial"/>
                <w:sz w:val="20"/>
                <w:szCs w:val="21"/>
                <w:lang w:eastAsia="zh-CN"/>
              </w:rPr>
            </w:pPr>
            <w:r>
              <w:rPr>
                <w:rFonts w:hint="default" w:ascii="Arial" w:hAnsi="Arial" w:eastAsia="Times New Roman" w:cs="Arial"/>
                <w:sz w:val="20"/>
                <w:szCs w:val="21"/>
                <w:lang w:eastAsia="zh-CN"/>
              </w:rPr>
              <w:t>In Step 3, following configurations are provided from NW to UE:</w:t>
            </w:r>
          </w:p>
          <w:p w14:paraId="6E35D389">
            <w:pPr>
              <w:numPr>
                <w:ilvl w:val="1"/>
                <w:numId w:val="8"/>
              </w:numPr>
              <w:adjustRightInd w:val="0"/>
              <w:snapToGrid w:val="0"/>
              <w:spacing w:after="0" w:line="240" w:lineRule="auto"/>
              <w:rPr>
                <w:rFonts w:hint="default" w:ascii="Arial" w:hAnsi="Arial" w:eastAsia="Times New Roman" w:cs="Arial"/>
                <w:sz w:val="20"/>
                <w:szCs w:val="21"/>
                <w:lang w:eastAsia="zh-CN"/>
              </w:rPr>
            </w:pPr>
            <w:r>
              <w:rPr>
                <w:rFonts w:hint="default" w:ascii="Arial" w:hAnsi="Arial" w:eastAsia="Times New Roman" w:cs="Arial"/>
                <w:sz w:val="20"/>
                <w:szCs w:val="21"/>
                <w:lang w:eastAsia="zh-CN"/>
              </w:rPr>
              <w:t>UE is allowed to do UAI reporting via </w:t>
            </w:r>
            <w:r>
              <w:rPr>
                <w:rFonts w:hint="default" w:ascii="Arial" w:hAnsi="Arial" w:eastAsia="Times New Roman" w:cs="Arial"/>
                <w:i/>
                <w:iCs/>
                <w:sz w:val="20"/>
                <w:szCs w:val="21"/>
                <w:lang w:eastAsia="zh-CN"/>
              </w:rPr>
              <w:t>OtherConfig,</w:t>
            </w:r>
          </w:p>
          <w:p w14:paraId="171D9972">
            <w:pPr>
              <w:numPr>
                <w:ilvl w:val="1"/>
                <w:numId w:val="8"/>
              </w:numPr>
              <w:adjustRightInd w:val="0"/>
              <w:snapToGrid w:val="0"/>
              <w:spacing w:after="0" w:line="240" w:lineRule="auto"/>
              <w:rPr>
                <w:rFonts w:hint="default" w:ascii="Arial" w:hAnsi="Arial" w:eastAsia="Times New Roman" w:cs="Arial"/>
                <w:sz w:val="20"/>
                <w:szCs w:val="21"/>
                <w:lang w:eastAsia="zh-CN"/>
              </w:rPr>
            </w:pPr>
            <w:r>
              <w:rPr>
                <w:rFonts w:hint="default" w:ascii="Arial" w:hAnsi="Arial" w:eastAsia="Times New Roman" w:cs="Arial"/>
                <w:sz w:val="20"/>
                <w:szCs w:val="21"/>
                <w:lang w:eastAsia="zh-CN"/>
              </w:rPr>
              <w:t xml:space="preserve">The applicability report is based on A) and/or B) </w:t>
            </w:r>
          </w:p>
          <w:p w14:paraId="2473AD84">
            <w:pPr>
              <w:numPr>
                <w:ilvl w:val="2"/>
                <w:numId w:val="8"/>
              </w:numPr>
              <w:adjustRightInd w:val="0"/>
              <w:snapToGrid w:val="0"/>
              <w:spacing w:after="0" w:line="240" w:lineRule="auto"/>
              <w:rPr>
                <w:rFonts w:hint="default" w:ascii="Arial" w:hAnsi="Arial" w:eastAsia="Times New Roman" w:cs="Arial"/>
                <w:sz w:val="20"/>
                <w:szCs w:val="21"/>
                <w:lang w:eastAsia="zh-CN"/>
              </w:rPr>
            </w:pPr>
            <w:r>
              <w:rPr>
                <w:rFonts w:hint="default" w:ascii="Arial" w:hAnsi="Arial" w:eastAsia="Times New Roman" w:cs="Arial"/>
                <w:sz w:val="20"/>
                <w:szCs w:val="21"/>
                <w:lang w:eastAsia="zh-CN"/>
              </w:rPr>
              <w:t xml:space="preserve">It is up to RAN 2 to design the container </w:t>
            </w:r>
          </w:p>
          <w:p w14:paraId="2A8A2697">
            <w:pPr>
              <w:numPr>
                <w:ilvl w:val="2"/>
                <w:numId w:val="8"/>
              </w:numPr>
              <w:adjustRightInd w:val="0"/>
              <w:snapToGrid w:val="0"/>
              <w:spacing w:after="0" w:line="240" w:lineRule="auto"/>
              <w:rPr>
                <w:rFonts w:hint="default" w:ascii="Arial" w:hAnsi="Arial" w:eastAsia="Times New Roman" w:cs="Arial"/>
                <w:sz w:val="20"/>
                <w:szCs w:val="21"/>
                <w:highlight w:val="yellow"/>
                <w:lang w:eastAsia="zh-CN"/>
              </w:rPr>
            </w:pPr>
            <w:r>
              <w:rPr>
                <w:rFonts w:hint="default" w:ascii="Arial" w:hAnsi="Arial" w:eastAsia="Times New Roman" w:cs="Arial"/>
                <w:sz w:val="20"/>
                <w:szCs w:val="21"/>
                <w:highlight w:val="yellow"/>
                <w:lang w:eastAsia="zh-CN"/>
              </w:rPr>
              <w:t>A) one or more of </w:t>
            </w:r>
            <w:r>
              <w:rPr>
                <w:rFonts w:hint="default" w:ascii="Arial" w:hAnsi="Arial" w:eastAsia="Times New Roman" w:cs="Arial"/>
                <w:i/>
                <w:iCs/>
                <w:sz w:val="20"/>
                <w:szCs w:val="21"/>
                <w:highlight w:val="yellow"/>
                <w:lang w:eastAsia="zh-CN"/>
              </w:rPr>
              <w:t>CSI-ReportConfig</w:t>
            </w:r>
            <w:r>
              <w:rPr>
                <w:rFonts w:hint="default" w:ascii="Arial" w:hAnsi="Arial" w:eastAsia="Times New Roman" w:cs="Arial"/>
                <w:sz w:val="20"/>
                <w:szCs w:val="21"/>
                <w:highlight w:val="yellow"/>
                <w:lang w:eastAsia="zh-CN"/>
              </w:rPr>
              <w:t xml:space="preserve"> for inference configuration</w:t>
            </w:r>
            <w:r>
              <w:rPr>
                <w:rFonts w:hint="default" w:ascii="Arial" w:hAnsi="Arial" w:eastAsia="Times New Roman" w:cs="Arial"/>
                <w:i/>
                <w:iCs/>
                <w:sz w:val="20"/>
                <w:szCs w:val="21"/>
                <w:highlight w:val="yellow"/>
                <w:lang w:eastAsia="zh-CN"/>
              </w:rPr>
              <w:t> </w:t>
            </w:r>
            <w:r>
              <w:rPr>
                <w:rFonts w:hint="default" w:ascii="Arial" w:hAnsi="Arial" w:eastAsia="Times New Roman" w:cs="Arial"/>
                <w:sz w:val="20"/>
                <w:szCs w:val="21"/>
                <w:highlight w:val="yellow"/>
                <w:lang w:eastAsia="zh-CN"/>
              </w:rPr>
              <w:t>(wherein the associated ID may be configured in CSI framework as working assumption applied)</w:t>
            </w:r>
            <w:r>
              <w:rPr>
                <w:rFonts w:hint="default" w:ascii="Arial" w:hAnsi="Arial" w:eastAsia="Times New Roman" w:cs="Arial"/>
                <w:i/>
                <w:iCs/>
                <w:sz w:val="20"/>
                <w:szCs w:val="21"/>
                <w:highlight w:val="yellow"/>
                <w:lang w:eastAsia="zh-CN"/>
              </w:rPr>
              <w:t xml:space="preserve"> </w:t>
            </w:r>
          </w:p>
          <w:p w14:paraId="00A66ABB">
            <w:pPr>
              <w:numPr>
                <w:ilvl w:val="3"/>
                <w:numId w:val="8"/>
              </w:numPr>
              <w:adjustRightInd w:val="0"/>
              <w:snapToGrid w:val="0"/>
              <w:spacing w:after="0" w:line="240" w:lineRule="auto"/>
              <w:rPr>
                <w:rFonts w:hint="default" w:ascii="Arial" w:hAnsi="Arial" w:eastAsia="等线" w:cs="Arial"/>
                <w:sz w:val="20"/>
                <w:szCs w:val="21"/>
                <w:lang w:eastAsia="de-DE"/>
              </w:rPr>
            </w:pPr>
            <w:r>
              <w:rPr>
                <w:rFonts w:hint="default" w:ascii="Arial" w:hAnsi="Arial" w:cs="Arial"/>
                <w:sz w:val="20"/>
                <w:szCs w:val="21"/>
              </w:rPr>
              <w:t xml:space="preserve">Note: </w:t>
            </w:r>
            <w:r>
              <w:rPr>
                <w:rFonts w:hint="default" w:ascii="Arial" w:hAnsi="Arial" w:cs="Arial"/>
                <w:sz w:val="20"/>
                <w:szCs w:val="21"/>
                <w:lang w:eastAsia="de-DE"/>
              </w:rPr>
              <w:t xml:space="preserve">CSI report </w:t>
            </w:r>
            <w:r>
              <w:rPr>
                <w:rFonts w:hint="default" w:ascii="Arial" w:hAnsi="Arial" w:cs="Arial"/>
                <w:sz w:val="20"/>
                <w:szCs w:val="21"/>
              </w:rPr>
              <w:t xml:space="preserve">configuration </w:t>
            </w:r>
            <w:r>
              <w:rPr>
                <w:rFonts w:hint="default" w:ascii="Arial" w:hAnsi="Arial" w:cs="Arial"/>
                <w:sz w:val="20"/>
                <w:szCs w:val="21"/>
                <w:lang w:eastAsia="de-DE"/>
              </w:rPr>
              <w:t>for UE-side model inference can</w:t>
            </w:r>
            <w:r>
              <w:rPr>
                <w:rFonts w:hint="default" w:ascii="Arial" w:hAnsi="Arial" w:cs="Arial"/>
                <w:sz w:val="20"/>
                <w:szCs w:val="21"/>
              </w:rPr>
              <w:t>’t</w:t>
            </w:r>
            <w:r>
              <w:rPr>
                <w:rFonts w:hint="default" w:ascii="Arial" w:hAnsi="Arial" w:cs="Arial"/>
                <w:sz w:val="20"/>
                <w:szCs w:val="21"/>
                <w:lang w:eastAsia="de-DE"/>
              </w:rPr>
              <w:t xml:space="preserve"> be activated immediately upon receiving Step 3</w:t>
            </w:r>
          </w:p>
          <w:p w14:paraId="6B11BEA8">
            <w:pPr>
              <w:numPr>
                <w:ilvl w:val="2"/>
                <w:numId w:val="8"/>
              </w:numPr>
              <w:adjustRightInd w:val="0"/>
              <w:snapToGrid w:val="0"/>
              <w:spacing w:after="0" w:line="240" w:lineRule="auto"/>
              <w:rPr>
                <w:rFonts w:hint="default" w:ascii="Arial" w:hAnsi="Arial" w:eastAsia="Times New Roman" w:cs="Arial"/>
                <w:sz w:val="20"/>
                <w:szCs w:val="21"/>
                <w:highlight w:val="yellow"/>
                <w:lang w:eastAsia="zh-CN"/>
              </w:rPr>
            </w:pPr>
            <w:r>
              <w:rPr>
                <w:rFonts w:hint="default" w:ascii="Arial" w:hAnsi="Arial" w:eastAsia="Times New Roman" w:cs="Arial"/>
                <w:sz w:val="20"/>
                <w:szCs w:val="21"/>
                <w:highlight w:val="yellow"/>
                <w:lang w:eastAsia="zh-CN"/>
              </w:rPr>
              <w:t>B) One set or multiple sets of inference related parameters for applicability report only (not for inference)</w:t>
            </w:r>
          </w:p>
          <w:p w14:paraId="55E84DB1">
            <w:pPr>
              <w:numPr>
                <w:ilvl w:val="3"/>
                <w:numId w:val="8"/>
              </w:numPr>
              <w:adjustRightInd w:val="0"/>
              <w:snapToGrid w:val="0"/>
              <w:spacing w:after="0" w:line="240" w:lineRule="auto"/>
              <w:rPr>
                <w:rFonts w:hint="default" w:ascii="Arial" w:hAnsi="Arial" w:eastAsia="Times New Roman" w:cs="Arial"/>
                <w:sz w:val="20"/>
                <w:szCs w:val="21"/>
                <w:lang w:eastAsia="zh-CN"/>
              </w:rPr>
            </w:pPr>
            <w:r>
              <w:rPr>
                <w:rFonts w:hint="default" w:ascii="Arial" w:hAnsi="Arial" w:eastAsia="Times New Roman" w:cs="Arial"/>
                <w:sz w:val="20"/>
                <w:szCs w:val="21"/>
              </w:rPr>
              <w:t>It is up to RAN2 to design the container.</w:t>
            </w:r>
          </w:p>
          <w:p w14:paraId="493B90DC">
            <w:pPr>
              <w:numPr>
                <w:ilvl w:val="3"/>
                <w:numId w:val="8"/>
              </w:numPr>
              <w:adjustRightInd w:val="0"/>
              <w:snapToGrid w:val="0"/>
              <w:spacing w:after="0" w:line="240" w:lineRule="auto"/>
              <w:rPr>
                <w:rFonts w:hint="default" w:ascii="Arial" w:hAnsi="Arial" w:eastAsia="Times New Roman" w:cs="Arial"/>
                <w:sz w:val="20"/>
                <w:szCs w:val="21"/>
                <w:lang w:eastAsia="zh-CN"/>
              </w:rPr>
            </w:pPr>
            <w:r>
              <w:rPr>
                <w:rFonts w:hint="default" w:ascii="Arial" w:hAnsi="Arial" w:eastAsia="Times New Roman" w:cs="Arial"/>
                <w:sz w:val="20"/>
                <w:szCs w:val="21"/>
              </w:rPr>
              <w:t xml:space="preserve">The set of inference related parameters selected from the IEs in/or the IEs referred by </w:t>
            </w:r>
            <w:r>
              <w:rPr>
                <w:rFonts w:hint="default" w:ascii="Arial" w:hAnsi="Arial" w:eastAsia="Times New Roman" w:cs="Arial"/>
                <w:i/>
                <w:iCs/>
                <w:sz w:val="20"/>
                <w:szCs w:val="21"/>
              </w:rPr>
              <w:t>CSI-ReportConfig</w:t>
            </w:r>
            <w:r>
              <w:rPr>
                <w:rFonts w:hint="default" w:ascii="Arial" w:hAnsi="Arial" w:eastAsia="Times New Roman" w:cs="Arial"/>
                <w:sz w:val="20"/>
                <w:szCs w:val="21"/>
              </w:rPr>
              <w:t xml:space="preserve"> as a starting point, e.g., </w:t>
            </w:r>
          </w:p>
          <w:p w14:paraId="3B072130">
            <w:pPr>
              <w:numPr>
                <w:ilvl w:val="4"/>
                <w:numId w:val="8"/>
              </w:numPr>
              <w:adjustRightInd w:val="0"/>
              <w:snapToGrid w:val="0"/>
              <w:spacing w:after="0" w:line="240" w:lineRule="auto"/>
              <w:rPr>
                <w:rFonts w:hint="default" w:ascii="Arial" w:hAnsi="Arial" w:eastAsia="Times New Roman" w:cs="Arial"/>
                <w:sz w:val="20"/>
                <w:szCs w:val="21"/>
                <w:lang w:eastAsia="zh-CN"/>
              </w:rPr>
            </w:pPr>
            <w:r>
              <w:rPr>
                <w:rFonts w:hint="default" w:ascii="Arial" w:hAnsi="Arial" w:eastAsia="Times New Roman" w:cs="Arial"/>
                <w:sz w:val="20"/>
                <w:szCs w:val="21"/>
                <w:lang w:eastAsia="zh-CN"/>
              </w:rPr>
              <w:t>the associated ID</w:t>
            </w:r>
          </w:p>
          <w:p w14:paraId="3DB983AE">
            <w:pPr>
              <w:numPr>
                <w:ilvl w:val="5"/>
                <w:numId w:val="8"/>
              </w:numPr>
              <w:adjustRightInd w:val="0"/>
              <w:snapToGrid w:val="0"/>
              <w:spacing w:after="0" w:line="240" w:lineRule="auto"/>
              <w:rPr>
                <w:rFonts w:hint="default" w:ascii="Arial" w:hAnsi="Arial" w:eastAsia="Times New Roman" w:cs="Arial"/>
                <w:sz w:val="20"/>
                <w:szCs w:val="21"/>
                <w:lang w:eastAsia="zh-CN"/>
              </w:rPr>
            </w:pPr>
            <w:r>
              <w:rPr>
                <w:rFonts w:hint="default" w:ascii="Arial" w:hAnsi="Arial" w:eastAsia="Times New Roman" w:cs="Arial"/>
                <w:sz w:val="20"/>
                <w:szCs w:val="21"/>
                <w:lang w:eastAsia="zh-CN"/>
              </w:rPr>
              <w:t xml:space="preserve">Note: this doesn’t imply the associated ID is mandatory </w:t>
            </w:r>
          </w:p>
          <w:p w14:paraId="5552D062">
            <w:pPr>
              <w:numPr>
                <w:ilvl w:val="4"/>
                <w:numId w:val="8"/>
              </w:numPr>
              <w:adjustRightInd w:val="0"/>
              <w:snapToGrid w:val="0"/>
              <w:spacing w:after="0" w:line="240" w:lineRule="auto"/>
              <w:rPr>
                <w:rFonts w:hint="default" w:ascii="Arial" w:hAnsi="Arial" w:eastAsia="Times New Roman" w:cs="Arial"/>
                <w:sz w:val="20"/>
                <w:szCs w:val="21"/>
                <w:lang w:eastAsia="zh-CN"/>
              </w:rPr>
            </w:pPr>
            <w:r>
              <w:rPr>
                <w:rFonts w:hint="default" w:ascii="Arial" w:hAnsi="Arial" w:eastAsia="Times New Roman" w:cs="Arial"/>
                <w:sz w:val="20"/>
                <w:szCs w:val="21"/>
                <w:lang w:eastAsia="zh-CN"/>
              </w:rPr>
              <w:t>Set A related information</w:t>
            </w:r>
          </w:p>
          <w:p w14:paraId="32F30915">
            <w:pPr>
              <w:numPr>
                <w:ilvl w:val="4"/>
                <w:numId w:val="8"/>
              </w:numPr>
              <w:adjustRightInd w:val="0"/>
              <w:snapToGrid w:val="0"/>
              <w:spacing w:after="0" w:line="240" w:lineRule="auto"/>
              <w:rPr>
                <w:rFonts w:hint="default" w:ascii="Arial" w:hAnsi="Arial" w:eastAsia="Times New Roman" w:cs="Arial"/>
                <w:sz w:val="20"/>
                <w:szCs w:val="21"/>
                <w:lang w:eastAsia="zh-CN"/>
              </w:rPr>
            </w:pPr>
            <w:r>
              <w:rPr>
                <w:rFonts w:hint="default" w:ascii="Arial" w:hAnsi="Arial" w:eastAsia="Times New Roman" w:cs="Arial"/>
                <w:sz w:val="20"/>
                <w:szCs w:val="21"/>
                <w:lang w:eastAsia="zh-CN"/>
              </w:rPr>
              <w:t>Set B related information</w:t>
            </w:r>
          </w:p>
          <w:p w14:paraId="6C338868">
            <w:pPr>
              <w:numPr>
                <w:ilvl w:val="4"/>
                <w:numId w:val="8"/>
              </w:numPr>
              <w:adjustRightInd w:val="0"/>
              <w:snapToGrid w:val="0"/>
              <w:spacing w:after="0" w:line="240" w:lineRule="auto"/>
              <w:rPr>
                <w:rFonts w:hint="default" w:ascii="Arial" w:hAnsi="Arial" w:eastAsia="Times New Roman" w:cs="Arial"/>
                <w:sz w:val="20"/>
                <w:szCs w:val="21"/>
                <w:lang w:eastAsia="zh-CN"/>
              </w:rPr>
            </w:pPr>
            <w:r>
              <w:rPr>
                <w:rFonts w:hint="default" w:ascii="Arial" w:hAnsi="Arial" w:eastAsia="Times New Roman" w:cs="Arial"/>
                <w:sz w:val="20"/>
                <w:szCs w:val="21"/>
                <w:lang w:eastAsia="zh-CN"/>
              </w:rPr>
              <w:t>Report content related information </w:t>
            </w:r>
          </w:p>
          <w:p w14:paraId="24472AD6">
            <w:pPr>
              <w:numPr>
                <w:ilvl w:val="4"/>
                <w:numId w:val="8"/>
              </w:numPr>
              <w:adjustRightInd w:val="0"/>
              <w:snapToGrid w:val="0"/>
              <w:spacing w:after="0" w:line="240" w:lineRule="auto"/>
              <w:rPr>
                <w:rFonts w:hint="default" w:ascii="Arial" w:hAnsi="Arial" w:eastAsia="Times New Roman" w:cs="Arial"/>
                <w:sz w:val="20"/>
                <w:szCs w:val="21"/>
                <w:lang w:eastAsia="zh-CN"/>
              </w:rPr>
            </w:pPr>
            <w:r>
              <w:rPr>
                <w:rFonts w:hint="default" w:ascii="Arial" w:hAnsi="Arial" w:eastAsia="Times New Roman" w:cs="Arial"/>
                <w:sz w:val="20"/>
                <w:szCs w:val="21"/>
                <w:lang w:eastAsia="zh-CN"/>
              </w:rPr>
              <w:t>For BM-Case 2, </w:t>
            </w:r>
          </w:p>
          <w:p w14:paraId="6C32DC4E">
            <w:pPr>
              <w:numPr>
                <w:ilvl w:val="5"/>
                <w:numId w:val="8"/>
              </w:numPr>
              <w:adjustRightInd w:val="0"/>
              <w:snapToGrid w:val="0"/>
              <w:spacing w:after="0" w:line="240" w:lineRule="auto"/>
              <w:rPr>
                <w:rFonts w:hint="default" w:ascii="Arial" w:hAnsi="Arial" w:eastAsia="Times New Roman" w:cs="Arial"/>
                <w:sz w:val="20"/>
                <w:szCs w:val="21"/>
                <w:lang w:eastAsia="zh-CN"/>
              </w:rPr>
            </w:pPr>
            <w:r>
              <w:rPr>
                <w:rFonts w:hint="default" w:ascii="Arial" w:hAnsi="Arial" w:eastAsia="Times New Roman" w:cs="Arial"/>
                <w:sz w:val="20"/>
                <w:szCs w:val="21"/>
                <w:lang w:eastAsia="zh-CN"/>
              </w:rPr>
              <w:t>Time instances related information for measurements</w:t>
            </w:r>
          </w:p>
          <w:p w14:paraId="59B2B526">
            <w:pPr>
              <w:numPr>
                <w:ilvl w:val="5"/>
                <w:numId w:val="8"/>
              </w:numPr>
              <w:adjustRightInd w:val="0"/>
              <w:snapToGrid w:val="0"/>
              <w:spacing w:after="0" w:line="240" w:lineRule="auto"/>
              <w:rPr>
                <w:rFonts w:hint="default" w:ascii="Arial" w:hAnsi="Arial" w:cs="Arial"/>
                <w:sz w:val="20"/>
                <w:szCs w:val="20"/>
                <w:vertAlign w:val="baseline"/>
                <w:lang w:val="en-US" w:eastAsia="zh-CN"/>
              </w:rPr>
            </w:pPr>
            <w:r>
              <w:rPr>
                <w:rFonts w:hint="default" w:ascii="Arial" w:hAnsi="Arial" w:eastAsia="Times New Roman" w:cs="Arial"/>
                <w:sz w:val="20"/>
                <w:szCs w:val="21"/>
                <w:lang w:eastAsia="zh-CN"/>
              </w:rPr>
              <w:t>Time instances related information for prediction</w:t>
            </w:r>
          </w:p>
        </w:tc>
      </w:tr>
    </w:tbl>
    <w:p w14:paraId="48940725">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0"/>
          <w:szCs w:val="20"/>
          <w:lang w:val="en-US" w:eastAsia="zh-CN"/>
        </w:rPr>
      </w:pPr>
      <w:r>
        <w:rPr>
          <w:rFonts w:hint="eastAsia" w:ascii="Arial" w:hAnsi="Arial" w:cs="Arial"/>
          <w:sz w:val="20"/>
          <w:szCs w:val="20"/>
          <w:lang w:val="en-US" w:eastAsia="zh-CN"/>
        </w:rPr>
        <w:t>However, RAN1 has no consensus on the following issues, such as which option used in Step 3, the granularity of functionality, the content and granularity of NW-side additional condition, etc. At this stage, we can wait for RAN1</w:t>
      </w:r>
      <w:r>
        <w:rPr>
          <w:rFonts w:hint="default" w:ascii="Arial" w:hAnsi="Arial" w:cs="Arial"/>
          <w:sz w:val="20"/>
          <w:szCs w:val="20"/>
          <w:lang w:val="en-US" w:eastAsia="zh-CN"/>
        </w:rPr>
        <w:t>’</w:t>
      </w:r>
      <w:r>
        <w:rPr>
          <w:rFonts w:hint="eastAsia" w:ascii="Arial" w:hAnsi="Arial" w:cs="Arial"/>
          <w:sz w:val="20"/>
          <w:szCs w:val="20"/>
          <w:lang w:val="en-US" w:eastAsia="zh-CN"/>
        </w:rPr>
        <w:t>s further progress on applicable functionality.</w:t>
      </w:r>
    </w:p>
    <w:p w14:paraId="39683579">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sz w:val="20"/>
          <w:szCs w:val="20"/>
          <w:lang w:val="en-US" w:eastAsia="zh-CN"/>
        </w:rPr>
      </w:pPr>
      <w:r>
        <w:rPr>
          <w:rFonts w:hint="eastAsia" w:ascii="Arial" w:hAnsi="Arial" w:cs="Arial"/>
          <w:b/>
          <w:bCs/>
          <w:sz w:val="20"/>
          <w:szCs w:val="20"/>
          <w:lang w:val="en-US" w:eastAsia="zh-CN"/>
        </w:rPr>
        <w:t xml:space="preserve">Proposal 2: The discussion on the issues, such as the granularity of functionality, the content and granularity of NW-side additional condition, etc. are postponed until RAN1 has further progress. </w:t>
      </w:r>
    </w:p>
    <w:p w14:paraId="00FCA386">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0"/>
          <w:szCs w:val="22"/>
          <w:lang w:val="en-US" w:eastAsia="zh-CN"/>
        </w:rPr>
      </w:pPr>
    </w:p>
    <w:p w14:paraId="47581C9D">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2.2 Data collection</w:t>
      </w:r>
    </w:p>
    <w:p w14:paraId="36973E8B">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0"/>
          <w:szCs w:val="22"/>
          <w:lang w:val="en-US" w:eastAsia="zh-CN"/>
        </w:rPr>
      </w:pPr>
      <w:r>
        <w:rPr>
          <w:rFonts w:hint="eastAsia" w:ascii="Arial" w:hAnsi="Arial" w:cs="Arial"/>
          <w:sz w:val="20"/>
          <w:szCs w:val="22"/>
          <w:lang w:val="en-US" w:eastAsia="zh-CN"/>
        </w:rPr>
        <w:t xml:space="preserve">In last meeting, there was a </w:t>
      </w:r>
      <w:r>
        <w:rPr>
          <w:rFonts w:hint="default" w:ascii="Arial" w:hAnsi="Arial" w:cs="Arial"/>
          <w:sz w:val="20"/>
          <w:szCs w:val="22"/>
          <w:lang w:val="en-US"/>
        </w:rPr>
        <w:t>FFS whether an indication from UE to network is needed when UE can’t perform data collection based on received configuration</w:t>
      </w:r>
      <w:r>
        <w:rPr>
          <w:rFonts w:hint="eastAsia" w:ascii="Arial" w:hAnsi="Arial" w:cs="Arial"/>
          <w:sz w:val="20"/>
          <w:szCs w:val="22"/>
          <w:lang w:val="en-US" w:eastAsia="zh-CN"/>
        </w:rPr>
        <w:t>.</w:t>
      </w:r>
    </w:p>
    <w:p w14:paraId="7B76B1B3">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2"/>
          <w:lang w:val="en-US" w:eastAsia="zh-CN"/>
        </w:rPr>
      </w:pPr>
      <w:r>
        <w:rPr>
          <w:rFonts w:hint="eastAsia" w:ascii="Arial" w:hAnsi="Arial" w:cs="Arial"/>
          <w:sz w:val="20"/>
          <w:szCs w:val="22"/>
          <w:lang w:val="en-US" w:eastAsia="zh-CN"/>
        </w:rPr>
        <w:t xml:space="preserve">In our understanding, although RAN2 has no agreements on the details of data collection configuration, it is provided to the UE by </w:t>
      </w:r>
      <w:r>
        <w:rPr>
          <w:rFonts w:hint="eastAsia" w:ascii="Arial" w:hAnsi="Arial" w:cs="Arial"/>
          <w:i/>
          <w:iCs/>
          <w:sz w:val="20"/>
          <w:szCs w:val="22"/>
          <w:lang w:val="en-US" w:eastAsia="zh-CN"/>
        </w:rPr>
        <w:t xml:space="preserve">RRCReconfiguration </w:t>
      </w:r>
      <w:r>
        <w:rPr>
          <w:rFonts w:hint="eastAsia" w:ascii="Arial" w:hAnsi="Arial" w:cs="Arial"/>
          <w:sz w:val="20"/>
          <w:szCs w:val="22"/>
          <w:lang w:val="en-US" w:eastAsia="zh-CN"/>
        </w:rPr>
        <w:t>message since the UE stays in RRC_CONNECTED state. As specified in TS 38.331[3], if the UE cannot comply with RRCReconfiguration, the UE shall continue using the configuration used prior to the reception of RRCReconfiguration message or perform the actions upon going to RRC_IDLE or initiate the connection re-establishment procedure.</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EEA0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AAA9D54">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0"/>
                <w:szCs w:val="22"/>
                <w:vertAlign w:val="baseline"/>
                <w:lang w:val="en-US" w:eastAsia="zh-CN"/>
              </w:rPr>
            </w:pPr>
            <w:r>
              <w:rPr>
                <w:rFonts w:hint="eastAsia" w:ascii="Arial" w:hAnsi="Arial" w:cs="Arial"/>
                <w:sz w:val="20"/>
                <w:szCs w:val="22"/>
                <w:vertAlign w:val="baseline"/>
                <w:lang w:val="en-US" w:eastAsia="zh-CN"/>
              </w:rPr>
              <w:t>5.3.5.8 Reconfiguration Failure</w:t>
            </w:r>
          </w:p>
          <w:p w14:paraId="333482C8">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i/>
                <w:iCs/>
                <w:sz w:val="20"/>
                <w:szCs w:val="22"/>
                <w:vertAlign w:val="baseline"/>
                <w:lang w:val="en-US" w:eastAsia="zh-CN"/>
              </w:rPr>
            </w:pPr>
            <w:r>
              <w:rPr>
                <w:rFonts w:hint="eastAsia" w:ascii="Arial" w:hAnsi="Arial" w:cs="Arial"/>
                <w:sz w:val="20"/>
                <w:szCs w:val="22"/>
                <w:vertAlign w:val="baseline"/>
                <w:lang w:val="en-US" w:eastAsia="zh-CN"/>
              </w:rPr>
              <w:t xml:space="preserve">5.3.5.8.2 Inability to comply with </w:t>
            </w:r>
            <w:r>
              <w:rPr>
                <w:rFonts w:hint="eastAsia" w:ascii="Arial" w:hAnsi="Arial" w:cs="Arial"/>
                <w:i/>
                <w:iCs/>
                <w:sz w:val="20"/>
                <w:szCs w:val="22"/>
                <w:vertAlign w:val="baseline"/>
                <w:lang w:val="en-US" w:eastAsia="zh-CN"/>
              </w:rPr>
              <w:t>RRCReconfiguration</w:t>
            </w:r>
          </w:p>
          <w:p w14:paraId="65F53642">
            <w:pPr>
              <w:keepNext w:val="0"/>
              <w:keepLines w:val="0"/>
              <w:widowControl/>
              <w:suppressLineNumbers w:val="0"/>
              <w:jc w:val="left"/>
              <w:rPr>
                <w:sz w:val="20"/>
                <w:szCs w:val="20"/>
              </w:rPr>
            </w:pPr>
            <w:r>
              <w:rPr>
                <w:rFonts w:ascii="Times-Roman" w:hAnsi="Times-Roman" w:eastAsia="Times-Roman" w:cs="Times-Roman"/>
                <w:color w:val="000000"/>
                <w:kern w:val="0"/>
                <w:sz w:val="20"/>
                <w:szCs w:val="20"/>
                <w:lang w:val="en-US" w:eastAsia="zh-CN" w:bidi="ar"/>
              </w:rPr>
              <w:t>The UE shall:</w:t>
            </w:r>
          </w:p>
          <w:p w14:paraId="4F84D100">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Times New Roman" w:hAnsi="Times New Roman" w:cs="Times New Roman"/>
                <w:i/>
                <w:iCs/>
                <w:sz w:val="20"/>
                <w:szCs w:val="20"/>
                <w:vertAlign w:val="baseline"/>
                <w:lang w:val="en-US" w:eastAsia="zh-CN"/>
              </w:rPr>
            </w:pPr>
            <w:r>
              <w:rPr>
                <w:rFonts w:hint="default" w:ascii="Times New Roman" w:hAnsi="Times New Roman" w:cs="Times New Roman"/>
                <w:i/>
                <w:iCs/>
                <w:sz w:val="20"/>
                <w:szCs w:val="20"/>
                <w:vertAlign w:val="baseline"/>
                <w:lang w:val="en-US" w:eastAsia="zh-CN"/>
              </w:rPr>
              <w:t>&lt;omitted&gt;</w:t>
            </w:r>
          </w:p>
          <w:p w14:paraId="3C13F288">
            <w:pPr>
              <w:keepNext w:val="0"/>
              <w:keepLines w:val="0"/>
              <w:widowControl/>
              <w:suppressLineNumbers w:val="0"/>
              <w:jc w:val="left"/>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1&gt; else if </w:t>
            </w:r>
            <w:r>
              <w:rPr>
                <w:rFonts w:hint="default" w:ascii="Times New Roman" w:hAnsi="Times New Roman" w:eastAsia="Times-Italic" w:cs="Times New Roman"/>
                <w:i/>
                <w:iCs/>
                <w:color w:val="000000"/>
                <w:kern w:val="0"/>
                <w:sz w:val="20"/>
                <w:szCs w:val="20"/>
                <w:lang w:val="en-US" w:eastAsia="zh-CN" w:bidi="ar"/>
              </w:rPr>
              <w:t>RRCReconfiguration</w:t>
            </w:r>
            <w:r>
              <w:rPr>
                <w:rFonts w:hint="default" w:ascii="Times New Roman" w:hAnsi="Times New Roman" w:eastAsia="Times-Roman" w:cs="Times New Roman"/>
                <w:color w:val="000000"/>
                <w:kern w:val="0"/>
                <w:sz w:val="20"/>
                <w:szCs w:val="20"/>
                <w:lang w:val="en-US" w:eastAsia="zh-CN" w:bidi="ar"/>
              </w:rPr>
              <w:t xml:space="preserve"> is received via NR (i.e., NR standalone, NE-DC, or NR-DC):</w:t>
            </w:r>
          </w:p>
          <w:p w14:paraId="32F8793E">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Times New Roman" w:hAnsi="Times New Roman" w:cs="Times New Roman"/>
                <w:i/>
                <w:iCs/>
                <w:sz w:val="20"/>
                <w:szCs w:val="20"/>
                <w:vertAlign w:val="baseline"/>
                <w:lang w:val="en-US" w:eastAsia="zh-CN"/>
              </w:rPr>
            </w:pPr>
            <w:r>
              <w:rPr>
                <w:rFonts w:hint="default" w:ascii="Times New Roman" w:hAnsi="Times New Roman" w:cs="Times New Roman"/>
                <w:i/>
                <w:iCs/>
                <w:sz w:val="20"/>
                <w:szCs w:val="20"/>
                <w:vertAlign w:val="baseline"/>
                <w:lang w:val="en-US" w:eastAsia="zh-CN"/>
              </w:rPr>
              <w:t>&lt;omitted&gt;</w:t>
            </w:r>
          </w:p>
          <w:p w14:paraId="40C1AA55">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2&gt; else if the UE is unable to comply with (part of) the configuration included in the </w:t>
            </w:r>
            <w:r>
              <w:rPr>
                <w:rFonts w:hint="default" w:ascii="Times New Roman" w:hAnsi="Times New Roman" w:eastAsia="Times-Italic" w:cs="Times New Roman"/>
                <w:i/>
                <w:iCs/>
                <w:color w:val="000000"/>
                <w:kern w:val="0"/>
                <w:sz w:val="20"/>
                <w:szCs w:val="20"/>
                <w:lang w:val="en-US" w:eastAsia="zh-CN" w:bidi="ar"/>
              </w:rPr>
              <w:t xml:space="preserve">RRCReconfiguration </w:t>
            </w:r>
          </w:p>
          <w:p w14:paraId="6CF5B9CF">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message received over the SRB1 or if the upper layers indicate that the </w:t>
            </w:r>
            <w:r>
              <w:rPr>
                <w:rFonts w:hint="default" w:ascii="Times New Roman" w:hAnsi="Times New Roman" w:eastAsia="Times-Italic" w:cs="Times New Roman"/>
                <w:i/>
                <w:iCs/>
                <w:color w:val="000000"/>
                <w:kern w:val="0"/>
                <w:sz w:val="20"/>
                <w:szCs w:val="20"/>
                <w:lang w:val="en-US" w:eastAsia="zh-CN" w:bidi="ar"/>
              </w:rPr>
              <w:t>nas-Container</w:t>
            </w:r>
            <w:r>
              <w:rPr>
                <w:rFonts w:hint="default" w:ascii="Times New Roman" w:hAnsi="Times New Roman" w:eastAsia="Times-Roman" w:cs="Times New Roman"/>
                <w:color w:val="000000"/>
                <w:kern w:val="0"/>
                <w:sz w:val="20"/>
                <w:szCs w:val="20"/>
                <w:lang w:val="en-US" w:eastAsia="zh-CN" w:bidi="ar"/>
              </w:rPr>
              <w:t xml:space="preserve"> is invalid:</w:t>
            </w:r>
          </w:p>
          <w:p w14:paraId="091827A6">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NOTE 0a: The compliance also covers the SCG configuration carried within octet strings e.g. field </w:t>
            </w:r>
            <w:r>
              <w:rPr>
                <w:rFonts w:hint="default" w:ascii="Times New Roman" w:hAnsi="Times New Roman" w:eastAsia="Times-Italic" w:cs="Times New Roman"/>
                <w:i/>
                <w:iCs/>
                <w:color w:val="000000"/>
                <w:kern w:val="0"/>
                <w:sz w:val="20"/>
                <w:szCs w:val="20"/>
                <w:lang w:val="en-US" w:eastAsia="zh-CN" w:bidi="ar"/>
              </w:rPr>
              <w:t>mrdc</w:t>
            </w:r>
          </w:p>
          <w:p w14:paraId="3871B046">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Italic" w:cs="Times New Roman"/>
                <w:i/>
                <w:iCs/>
                <w:color w:val="000000"/>
                <w:kern w:val="0"/>
                <w:sz w:val="20"/>
                <w:szCs w:val="20"/>
                <w:lang w:val="en-US" w:eastAsia="zh-CN" w:bidi="ar"/>
              </w:rPr>
              <w:t>SecondaryCellGroupConfig</w:t>
            </w:r>
            <w:r>
              <w:rPr>
                <w:rFonts w:hint="default" w:ascii="Times New Roman" w:hAnsi="Times New Roman" w:eastAsia="Times-Roman" w:cs="Times New Roman"/>
                <w:color w:val="000000"/>
                <w:kern w:val="0"/>
                <w:sz w:val="20"/>
                <w:szCs w:val="20"/>
                <w:lang w:val="en-US" w:eastAsia="zh-CN" w:bidi="ar"/>
              </w:rPr>
              <w:t xml:space="preserve">. I.e. the failure behaviour defined also applies in case the UE cannot comply </w:t>
            </w:r>
          </w:p>
          <w:p w14:paraId="517608C2">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with the embedded SCG configuration or with the combination of (parts of) the MCG and SCG </w:t>
            </w:r>
          </w:p>
          <w:p w14:paraId="6D94C86C">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configurations. </w:t>
            </w:r>
          </w:p>
          <w:p w14:paraId="1768EF19">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NOTE 0b: The compliance also covers the V2X sidelink configuration carried within an octet string, e.g. field </w:t>
            </w:r>
            <w:r>
              <w:rPr>
                <w:rFonts w:hint="default" w:ascii="Times New Roman" w:hAnsi="Times New Roman" w:eastAsia="Times-Italic" w:cs="Times New Roman"/>
                <w:i/>
                <w:iCs/>
                <w:color w:val="000000"/>
                <w:kern w:val="0"/>
                <w:sz w:val="20"/>
                <w:szCs w:val="20"/>
                <w:lang w:val="en-US" w:eastAsia="zh-CN" w:bidi="ar"/>
              </w:rPr>
              <w:t>sl</w:t>
            </w:r>
          </w:p>
          <w:p w14:paraId="250A45A7">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Italic" w:cs="Times New Roman"/>
                <w:i/>
                <w:iCs/>
                <w:color w:val="000000"/>
                <w:kern w:val="0"/>
                <w:sz w:val="20"/>
                <w:szCs w:val="20"/>
                <w:lang w:val="en-US" w:eastAsia="zh-CN" w:bidi="ar"/>
              </w:rPr>
              <w:t>ConfigDedicatedEUTRA</w:t>
            </w:r>
            <w:r>
              <w:rPr>
                <w:rFonts w:hint="default" w:ascii="Times New Roman" w:hAnsi="Times New Roman" w:eastAsia="Times-Roman" w:cs="Times New Roman"/>
                <w:color w:val="000000"/>
                <w:kern w:val="0"/>
                <w:sz w:val="20"/>
                <w:szCs w:val="20"/>
                <w:lang w:val="en-US" w:eastAsia="zh-CN" w:bidi="ar"/>
              </w:rPr>
              <w:t xml:space="preserve">. I.e. the failure behaviour defined also applies in case the UE cannot comply </w:t>
            </w:r>
          </w:p>
          <w:p w14:paraId="6C6F338E">
            <w:pPr>
              <w:keepNext w:val="0"/>
              <w:keepLines w:val="0"/>
              <w:pageBreakBefore w:val="0"/>
              <w:widowControl/>
              <w:suppressLineNumbers w:val="0"/>
              <w:kinsoku/>
              <w:wordWrap/>
              <w:overflowPunct/>
              <w:topLinePunct w:val="0"/>
              <w:autoSpaceDE/>
              <w:autoSpaceDN/>
              <w:bidi w:val="0"/>
              <w:adjustRightInd/>
              <w:snapToGrid/>
              <w:spacing w:after="60"/>
              <w:ind w:leftChars="1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with the embedded V2X sidelink configuration. </w:t>
            </w:r>
          </w:p>
          <w:p w14:paraId="457CCC9F">
            <w:pPr>
              <w:keepNext w:val="0"/>
              <w:keepLines w:val="0"/>
              <w:pageBreakBefore w:val="0"/>
              <w:widowControl/>
              <w:suppressLineNumbers w:val="0"/>
              <w:kinsoku/>
              <w:wordWrap/>
              <w:overflowPunct/>
              <w:topLinePunct w:val="0"/>
              <w:autoSpaceDE/>
              <w:autoSpaceDN/>
              <w:bidi w:val="0"/>
              <w:adjustRightInd/>
              <w:snapToGrid/>
              <w:spacing w:after="60"/>
              <w:ind w:leftChars="2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3&gt; if the </w:t>
            </w:r>
            <w:r>
              <w:rPr>
                <w:rFonts w:hint="default" w:ascii="Times New Roman" w:hAnsi="Times New Roman" w:eastAsia="Times-Italic" w:cs="Times New Roman"/>
                <w:i/>
                <w:iCs/>
                <w:color w:val="000000"/>
                <w:kern w:val="0"/>
                <w:sz w:val="20"/>
                <w:szCs w:val="20"/>
                <w:lang w:val="en-US" w:eastAsia="zh-CN" w:bidi="ar"/>
              </w:rPr>
              <w:t>RRCReconfiguration</w:t>
            </w:r>
            <w:r>
              <w:rPr>
                <w:rFonts w:hint="default" w:ascii="Times New Roman" w:hAnsi="Times New Roman" w:eastAsia="Times-Roman" w:cs="Times New Roman"/>
                <w:color w:val="000000"/>
                <w:kern w:val="0"/>
                <w:sz w:val="20"/>
                <w:szCs w:val="20"/>
                <w:lang w:val="en-US" w:eastAsia="zh-CN" w:bidi="ar"/>
              </w:rPr>
              <w:t xml:space="preserve"> message was received as part of </w:t>
            </w:r>
            <w:r>
              <w:rPr>
                <w:rFonts w:hint="default" w:ascii="Times New Roman" w:hAnsi="Times New Roman" w:eastAsia="Times-Italic" w:cs="Times New Roman"/>
                <w:i/>
                <w:iCs/>
                <w:color w:val="000000"/>
                <w:kern w:val="0"/>
                <w:sz w:val="20"/>
                <w:szCs w:val="20"/>
                <w:lang w:val="en-US" w:eastAsia="zh-CN" w:bidi="ar"/>
              </w:rPr>
              <w:t>ConditionalReconfiguration</w:t>
            </w:r>
            <w:r>
              <w:rPr>
                <w:rFonts w:hint="default" w:ascii="Times New Roman" w:hAnsi="Times New Roman" w:eastAsia="Times-Roman" w:cs="Times New Roman"/>
                <w:color w:val="000000"/>
                <w:kern w:val="0"/>
                <w:sz w:val="20"/>
                <w:szCs w:val="20"/>
                <w:lang w:val="en-US" w:eastAsia="zh-CN" w:bidi="ar"/>
              </w:rPr>
              <w:t xml:space="preserve">; or, </w:t>
            </w:r>
          </w:p>
          <w:p w14:paraId="11A9C997">
            <w:pPr>
              <w:keepNext w:val="0"/>
              <w:keepLines w:val="0"/>
              <w:pageBreakBefore w:val="0"/>
              <w:widowControl/>
              <w:suppressLineNumbers w:val="0"/>
              <w:kinsoku/>
              <w:wordWrap/>
              <w:overflowPunct/>
              <w:topLinePunct w:val="0"/>
              <w:autoSpaceDE/>
              <w:autoSpaceDN/>
              <w:bidi w:val="0"/>
              <w:adjustRightInd/>
              <w:snapToGrid/>
              <w:spacing w:after="60"/>
              <w:ind w:leftChars="2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3&gt; if the </w:t>
            </w:r>
            <w:r>
              <w:rPr>
                <w:rFonts w:hint="default" w:ascii="Times New Roman" w:hAnsi="Times New Roman" w:eastAsia="Times-Italic" w:cs="Times New Roman"/>
                <w:i/>
                <w:iCs/>
                <w:color w:val="000000"/>
                <w:kern w:val="0"/>
                <w:sz w:val="20"/>
                <w:szCs w:val="20"/>
                <w:lang w:val="en-US" w:eastAsia="zh-CN" w:bidi="ar"/>
              </w:rPr>
              <w:t>RRCReconfiguration</w:t>
            </w:r>
            <w:r>
              <w:rPr>
                <w:rFonts w:hint="default" w:ascii="Times New Roman" w:hAnsi="Times New Roman" w:eastAsia="Times-Roman" w:cs="Times New Roman"/>
                <w:color w:val="000000"/>
                <w:kern w:val="0"/>
                <w:sz w:val="20"/>
                <w:szCs w:val="20"/>
                <w:lang w:val="en-US" w:eastAsia="zh-CN" w:bidi="ar"/>
              </w:rPr>
              <w:t xml:space="preserve"> message was received as part of </w:t>
            </w:r>
            <w:r>
              <w:rPr>
                <w:rFonts w:hint="default" w:ascii="Times New Roman" w:hAnsi="Times New Roman" w:eastAsia="Times-Italic" w:cs="Times New Roman"/>
                <w:i/>
                <w:iCs/>
                <w:color w:val="000000"/>
                <w:kern w:val="0"/>
                <w:sz w:val="20"/>
                <w:szCs w:val="20"/>
                <w:lang w:val="en-US" w:eastAsia="zh-CN" w:bidi="ar"/>
              </w:rPr>
              <w:t>ltm-Config</w:t>
            </w:r>
            <w:r>
              <w:rPr>
                <w:rFonts w:hint="default" w:ascii="Times New Roman" w:hAnsi="Times New Roman" w:eastAsia="Times-Roman" w:cs="Times New Roman"/>
                <w:color w:val="000000"/>
                <w:kern w:val="0"/>
                <w:sz w:val="20"/>
                <w:szCs w:val="20"/>
                <w:lang w:val="en-US" w:eastAsia="zh-CN" w:bidi="ar"/>
              </w:rPr>
              <w:t xml:space="preserve">: </w:t>
            </w:r>
          </w:p>
          <w:p w14:paraId="1F527015">
            <w:pPr>
              <w:keepNext w:val="0"/>
              <w:keepLines w:val="0"/>
              <w:pageBreakBefore w:val="0"/>
              <w:widowControl/>
              <w:suppressLineNumbers w:val="0"/>
              <w:kinsoku/>
              <w:wordWrap/>
              <w:overflowPunct/>
              <w:topLinePunct w:val="0"/>
              <w:autoSpaceDE/>
              <w:autoSpaceDN/>
              <w:bidi w:val="0"/>
              <w:adjustRightInd/>
              <w:snapToGrid/>
              <w:spacing w:after="60"/>
              <w:ind w:leftChars="3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4&gt; continue using the configuration used prior to when the inability to comply with the </w:t>
            </w:r>
          </w:p>
          <w:p w14:paraId="5266FA0A">
            <w:pPr>
              <w:keepNext w:val="0"/>
              <w:keepLines w:val="0"/>
              <w:pageBreakBefore w:val="0"/>
              <w:widowControl/>
              <w:suppressLineNumbers w:val="0"/>
              <w:kinsoku/>
              <w:wordWrap/>
              <w:overflowPunct/>
              <w:topLinePunct w:val="0"/>
              <w:autoSpaceDE/>
              <w:autoSpaceDN/>
              <w:bidi w:val="0"/>
              <w:adjustRightInd/>
              <w:snapToGrid/>
              <w:spacing w:after="60"/>
              <w:ind w:leftChars="300"/>
              <w:jc w:val="left"/>
              <w:textAlignment w:val="auto"/>
              <w:rPr>
                <w:rFonts w:hint="default" w:ascii="Times New Roman" w:hAnsi="Times New Roman" w:cs="Times New Roman"/>
                <w:sz w:val="20"/>
                <w:szCs w:val="20"/>
              </w:rPr>
            </w:pPr>
            <w:r>
              <w:rPr>
                <w:rFonts w:hint="default" w:ascii="Times New Roman" w:hAnsi="Times New Roman" w:eastAsia="Times-Italic" w:cs="Times New Roman"/>
                <w:i/>
                <w:iCs/>
                <w:color w:val="000000"/>
                <w:kern w:val="0"/>
                <w:sz w:val="20"/>
                <w:szCs w:val="20"/>
                <w:lang w:val="en-US" w:eastAsia="zh-CN" w:bidi="ar"/>
              </w:rPr>
              <w:t>RRCReconfiguration</w:t>
            </w:r>
            <w:r>
              <w:rPr>
                <w:rFonts w:hint="default" w:ascii="Times New Roman" w:hAnsi="Times New Roman" w:eastAsia="Times-Roman" w:cs="Times New Roman"/>
                <w:color w:val="000000"/>
                <w:kern w:val="0"/>
                <w:sz w:val="20"/>
                <w:szCs w:val="20"/>
                <w:lang w:val="en-US" w:eastAsia="zh-CN" w:bidi="ar"/>
              </w:rPr>
              <w:t xml:space="preserve"> message was detected; </w:t>
            </w:r>
          </w:p>
          <w:p w14:paraId="02F3B0DD">
            <w:pPr>
              <w:keepNext w:val="0"/>
              <w:keepLines w:val="0"/>
              <w:pageBreakBefore w:val="0"/>
              <w:widowControl/>
              <w:suppressLineNumbers w:val="0"/>
              <w:kinsoku/>
              <w:wordWrap/>
              <w:overflowPunct/>
              <w:topLinePunct w:val="0"/>
              <w:autoSpaceDE/>
              <w:autoSpaceDN/>
              <w:bidi w:val="0"/>
              <w:adjustRightInd/>
              <w:snapToGrid/>
              <w:spacing w:after="60"/>
              <w:ind w:leftChars="2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3&gt; else: </w:t>
            </w:r>
          </w:p>
          <w:p w14:paraId="26B52854">
            <w:pPr>
              <w:keepNext w:val="0"/>
              <w:keepLines w:val="0"/>
              <w:pageBreakBefore w:val="0"/>
              <w:widowControl/>
              <w:suppressLineNumbers w:val="0"/>
              <w:kinsoku/>
              <w:wordWrap/>
              <w:overflowPunct/>
              <w:topLinePunct w:val="0"/>
              <w:autoSpaceDE/>
              <w:autoSpaceDN/>
              <w:bidi w:val="0"/>
              <w:adjustRightInd/>
              <w:snapToGrid/>
              <w:spacing w:after="60"/>
              <w:ind w:leftChars="300"/>
              <w:jc w:val="left"/>
              <w:textAlignment w:val="auto"/>
              <w:rPr>
                <w:rFonts w:hint="default" w:ascii="Times New Roman" w:hAnsi="Times New Roman" w:cs="Times New Roman"/>
                <w:sz w:val="20"/>
                <w:szCs w:val="20"/>
                <w:highlight w:val="yellow"/>
              </w:rPr>
            </w:pPr>
            <w:r>
              <w:rPr>
                <w:rFonts w:hint="default" w:ascii="Times New Roman" w:hAnsi="Times New Roman" w:eastAsia="Times-Roman" w:cs="Times New Roman"/>
                <w:color w:val="000000"/>
                <w:kern w:val="0"/>
                <w:sz w:val="20"/>
                <w:szCs w:val="20"/>
                <w:highlight w:val="yellow"/>
                <w:lang w:val="en-US" w:eastAsia="zh-CN" w:bidi="ar"/>
              </w:rPr>
              <w:t xml:space="preserve">4&gt; continue using the configuration used prior to the reception of </w:t>
            </w:r>
            <w:r>
              <w:rPr>
                <w:rFonts w:hint="default" w:ascii="Times New Roman" w:hAnsi="Times New Roman" w:eastAsia="Times-Italic" w:cs="Times New Roman"/>
                <w:i/>
                <w:iCs/>
                <w:color w:val="000000"/>
                <w:kern w:val="0"/>
                <w:sz w:val="20"/>
                <w:szCs w:val="20"/>
                <w:highlight w:val="yellow"/>
                <w:lang w:val="en-US" w:eastAsia="zh-CN" w:bidi="ar"/>
              </w:rPr>
              <w:t>RRCReconfiguration</w:t>
            </w:r>
            <w:r>
              <w:rPr>
                <w:rFonts w:hint="default" w:ascii="Times New Roman" w:hAnsi="Times New Roman" w:eastAsia="Times-Roman" w:cs="Times New Roman"/>
                <w:color w:val="000000"/>
                <w:kern w:val="0"/>
                <w:sz w:val="20"/>
                <w:szCs w:val="20"/>
                <w:highlight w:val="yellow"/>
                <w:lang w:val="en-US" w:eastAsia="zh-CN" w:bidi="ar"/>
              </w:rPr>
              <w:t xml:space="preserve"> message; </w:t>
            </w:r>
          </w:p>
          <w:p w14:paraId="2214BFBD">
            <w:pPr>
              <w:keepNext w:val="0"/>
              <w:keepLines w:val="0"/>
              <w:pageBreakBefore w:val="0"/>
              <w:widowControl/>
              <w:suppressLineNumbers w:val="0"/>
              <w:kinsoku/>
              <w:wordWrap/>
              <w:overflowPunct/>
              <w:topLinePunct w:val="0"/>
              <w:autoSpaceDE/>
              <w:autoSpaceDN/>
              <w:bidi w:val="0"/>
              <w:adjustRightInd/>
              <w:snapToGrid/>
              <w:spacing w:after="60"/>
              <w:ind w:leftChars="2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3&gt; if AS security has not been activated: </w:t>
            </w:r>
          </w:p>
          <w:p w14:paraId="2355C495">
            <w:pPr>
              <w:keepNext w:val="0"/>
              <w:keepLines w:val="0"/>
              <w:pageBreakBefore w:val="0"/>
              <w:widowControl/>
              <w:suppressLineNumbers w:val="0"/>
              <w:kinsoku/>
              <w:wordWrap/>
              <w:overflowPunct/>
              <w:topLinePunct w:val="0"/>
              <w:autoSpaceDE/>
              <w:autoSpaceDN/>
              <w:bidi w:val="0"/>
              <w:adjustRightInd/>
              <w:snapToGrid/>
              <w:spacing w:after="60"/>
              <w:ind w:leftChars="3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4&gt; perform the actions upon going to RRC_IDLE as specified in 5.3.11, with release cause 'other' </w:t>
            </w:r>
          </w:p>
          <w:p w14:paraId="2D2F05B5">
            <w:pPr>
              <w:keepNext w:val="0"/>
              <w:keepLines w:val="0"/>
              <w:pageBreakBefore w:val="0"/>
              <w:widowControl/>
              <w:suppressLineNumbers w:val="0"/>
              <w:kinsoku/>
              <w:wordWrap/>
              <w:overflowPunct/>
              <w:topLinePunct w:val="0"/>
              <w:autoSpaceDE/>
              <w:autoSpaceDN/>
              <w:bidi w:val="0"/>
              <w:adjustRightInd/>
              <w:snapToGrid/>
              <w:spacing w:after="60"/>
              <w:ind w:leftChars="2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3&gt; else if AS security has been activated but SRB2 and at least one DRB or multicast MRB or, for IAB and </w:t>
            </w:r>
          </w:p>
          <w:p w14:paraId="39BD0CE7">
            <w:pPr>
              <w:keepNext w:val="0"/>
              <w:keepLines w:val="0"/>
              <w:pageBreakBefore w:val="0"/>
              <w:widowControl/>
              <w:suppressLineNumbers w:val="0"/>
              <w:kinsoku/>
              <w:wordWrap/>
              <w:overflowPunct/>
              <w:topLinePunct w:val="0"/>
              <w:autoSpaceDE/>
              <w:autoSpaceDN/>
              <w:bidi w:val="0"/>
              <w:adjustRightInd/>
              <w:snapToGrid/>
              <w:spacing w:after="60"/>
              <w:ind w:leftChars="2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NCR, SRB2, have not been setup: </w:t>
            </w:r>
          </w:p>
          <w:p w14:paraId="5C3C6B7E">
            <w:pPr>
              <w:keepNext w:val="0"/>
              <w:keepLines w:val="0"/>
              <w:pageBreakBefore w:val="0"/>
              <w:widowControl/>
              <w:suppressLineNumbers w:val="0"/>
              <w:kinsoku/>
              <w:wordWrap/>
              <w:overflowPunct/>
              <w:topLinePunct w:val="0"/>
              <w:autoSpaceDE/>
              <w:autoSpaceDN/>
              <w:bidi w:val="0"/>
              <w:adjustRightInd/>
              <w:snapToGrid/>
              <w:spacing w:after="60"/>
              <w:ind w:leftChars="300"/>
              <w:jc w:val="left"/>
              <w:textAlignment w:val="auto"/>
              <w:rPr>
                <w:rFonts w:hint="default" w:ascii="Times New Roman" w:hAnsi="Times New Roman" w:cs="Times New Roman"/>
                <w:sz w:val="20"/>
                <w:szCs w:val="20"/>
                <w:highlight w:val="yellow"/>
              </w:rPr>
            </w:pPr>
            <w:r>
              <w:rPr>
                <w:rFonts w:hint="default" w:ascii="Times New Roman" w:hAnsi="Times New Roman" w:eastAsia="Times-Roman" w:cs="Times New Roman"/>
                <w:color w:val="000000"/>
                <w:kern w:val="0"/>
                <w:sz w:val="20"/>
                <w:szCs w:val="20"/>
                <w:highlight w:val="yellow"/>
                <w:lang w:val="en-US" w:eastAsia="zh-CN" w:bidi="ar"/>
              </w:rPr>
              <w:t xml:space="preserve">4&gt; perform the actions upon going to RRC_IDLE as specified in 5.3.11, with release cause 'RRC </w:t>
            </w:r>
          </w:p>
          <w:p w14:paraId="3E9F05D1">
            <w:pPr>
              <w:keepNext w:val="0"/>
              <w:keepLines w:val="0"/>
              <w:pageBreakBefore w:val="0"/>
              <w:widowControl/>
              <w:suppressLineNumbers w:val="0"/>
              <w:kinsoku/>
              <w:wordWrap/>
              <w:overflowPunct/>
              <w:topLinePunct w:val="0"/>
              <w:autoSpaceDE/>
              <w:autoSpaceDN/>
              <w:bidi w:val="0"/>
              <w:adjustRightInd/>
              <w:snapToGrid/>
              <w:spacing w:after="60"/>
              <w:ind w:leftChars="3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highlight w:val="yellow"/>
                <w:lang w:val="en-US" w:eastAsia="zh-CN" w:bidi="ar"/>
              </w:rPr>
              <w:t>connection failure';</w:t>
            </w:r>
            <w:r>
              <w:rPr>
                <w:rFonts w:hint="default" w:ascii="Times New Roman" w:hAnsi="Times New Roman" w:eastAsia="Times-Roman" w:cs="Times New Roman"/>
                <w:color w:val="000000"/>
                <w:kern w:val="0"/>
                <w:sz w:val="20"/>
                <w:szCs w:val="20"/>
                <w:lang w:val="en-US" w:eastAsia="zh-CN" w:bidi="ar"/>
              </w:rPr>
              <w:t xml:space="preserve"> </w:t>
            </w:r>
          </w:p>
          <w:p w14:paraId="1BB08739">
            <w:pPr>
              <w:keepNext w:val="0"/>
              <w:keepLines w:val="0"/>
              <w:pageBreakBefore w:val="0"/>
              <w:widowControl/>
              <w:suppressLineNumbers w:val="0"/>
              <w:kinsoku/>
              <w:wordWrap/>
              <w:overflowPunct/>
              <w:topLinePunct w:val="0"/>
              <w:autoSpaceDE/>
              <w:autoSpaceDN/>
              <w:bidi w:val="0"/>
              <w:adjustRightInd/>
              <w:snapToGrid/>
              <w:spacing w:after="60"/>
              <w:ind w:leftChars="2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lang w:val="en-US" w:eastAsia="zh-CN" w:bidi="ar"/>
              </w:rPr>
              <w:t xml:space="preserve">3&gt; else: </w:t>
            </w:r>
          </w:p>
          <w:p w14:paraId="0C788094">
            <w:pPr>
              <w:keepNext w:val="0"/>
              <w:keepLines w:val="0"/>
              <w:pageBreakBefore w:val="0"/>
              <w:widowControl/>
              <w:suppressLineNumbers w:val="0"/>
              <w:kinsoku/>
              <w:wordWrap/>
              <w:overflowPunct/>
              <w:topLinePunct w:val="0"/>
              <w:autoSpaceDE/>
              <w:autoSpaceDN/>
              <w:bidi w:val="0"/>
              <w:adjustRightInd/>
              <w:snapToGrid/>
              <w:spacing w:after="60"/>
              <w:ind w:leftChars="300"/>
              <w:jc w:val="left"/>
              <w:textAlignment w:val="auto"/>
              <w:rPr>
                <w:rFonts w:hint="default" w:ascii="Times New Roman" w:hAnsi="Times New Roman" w:cs="Times New Roman"/>
                <w:sz w:val="20"/>
                <w:szCs w:val="20"/>
                <w:highlight w:val="yellow"/>
              </w:rPr>
            </w:pPr>
            <w:r>
              <w:rPr>
                <w:rFonts w:hint="default" w:ascii="Times New Roman" w:hAnsi="Times New Roman" w:eastAsia="Times-Roman" w:cs="Times New Roman"/>
                <w:color w:val="000000"/>
                <w:kern w:val="0"/>
                <w:sz w:val="20"/>
                <w:szCs w:val="20"/>
                <w:highlight w:val="yellow"/>
                <w:lang w:val="en-US" w:eastAsia="zh-CN" w:bidi="ar"/>
              </w:rPr>
              <w:t xml:space="preserve">4&gt; initiate the connection re-establishment procedure as specified in 5.3.7, upon which the </w:t>
            </w:r>
          </w:p>
          <w:p w14:paraId="7D2414D8">
            <w:pPr>
              <w:keepNext w:val="0"/>
              <w:keepLines w:val="0"/>
              <w:pageBreakBefore w:val="0"/>
              <w:widowControl/>
              <w:suppressLineNumbers w:val="0"/>
              <w:kinsoku/>
              <w:wordWrap/>
              <w:overflowPunct/>
              <w:topLinePunct w:val="0"/>
              <w:autoSpaceDE/>
              <w:autoSpaceDN/>
              <w:bidi w:val="0"/>
              <w:adjustRightInd/>
              <w:snapToGrid/>
              <w:spacing w:after="60"/>
              <w:ind w:leftChars="300"/>
              <w:jc w:val="left"/>
              <w:textAlignment w:val="auto"/>
              <w:rPr>
                <w:rFonts w:hint="default" w:ascii="Times New Roman" w:hAnsi="Times New Roman" w:cs="Times New Roman"/>
                <w:sz w:val="20"/>
                <w:szCs w:val="20"/>
              </w:rPr>
            </w:pPr>
            <w:r>
              <w:rPr>
                <w:rFonts w:hint="default" w:ascii="Times New Roman" w:hAnsi="Times New Roman" w:eastAsia="Times-Roman" w:cs="Times New Roman"/>
                <w:color w:val="000000"/>
                <w:kern w:val="0"/>
                <w:sz w:val="20"/>
                <w:szCs w:val="20"/>
                <w:highlight w:val="yellow"/>
                <w:lang w:val="en-US" w:eastAsia="zh-CN" w:bidi="ar"/>
              </w:rPr>
              <w:t>reconfiguration procedure ends;</w:t>
            </w:r>
            <w:r>
              <w:rPr>
                <w:rFonts w:hint="default" w:ascii="Times New Roman" w:hAnsi="Times New Roman" w:eastAsia="Times-Roman" w:cs="Times New Roman"/>
                <w:color w:val="000000"/>
                <w:kern w:val="0"/>
                <w:sz w:val="20"/>
                <w:szCs w:val="20"/>
                <w:lang w:val="en-US" w:eastAsia="zh-CN" w:bidi="ar"/>
              </w:rPr>
              <w:t xml:space="preserve"> </w:t>
            </w:r>
          </w:p>
          <w:p w14:paraId="2B8F64D6">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i/>
                <w:iCs/>
                <w:sz w:val="20"/>
                <w:szCs w:val="22"/>
                <w:vertAlign w:val="baseline"/>
                <w:lang w:val="en-US" w:eastAsia="zh-CN"/>
              </w:rPr>
            </w:pPr>
            <w:r>
              <w:rPr>
                <w:rFonts w:hint="default" w:ascii="Times New Roman" w:hAnsi="Times New Roman" w:cs="Times New Roman"/>
                <w:i/>
                <w:iCs/>
                <w:sz w:val="20"/>
                <w:szCs w:val="20"/>
                <w:vertAlign w:val="baseline"/>
                <w:lang w:val="en-US" w:eastAsia="zh-CN"/>
              </w:rPr>
              <w:t>&lt;omitted&gt;</w:t>
            </w:r>
          </w:p>
        </w:tc>
      </w:tr>
    </w:tbl>
    <w:p w14:paraId="297283C1">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sz w:val="20"/>
          <w:szCs w:val="22"/>
          <w:lang w:val="en-US" w:eastAsia="zh-CN"/>
        </w:rPr>
      </w:pPr>
      <w:r>
        <w:rPr>
          <w:rFonts w:hint="eastAsia" w:ascii="Arial" w:hAnsi="Arial" w:cs="Arial"/>
          <w:sz w:val="20"/>
          <w:szCs w:val="22"/>
          <w:lang w:val="en-US" w:eastAsia="zh-CN"/>
        </w:rPr>
        <w:t xml:space="preserve">For data collection for model training, we think it is a separate procedure from legacy operation. If the UE cannot perform data collection </w:t>
      </w:r>
      <w:r>
        <w:rPr>
          <w:rFonts w:hint="default" w:ascii="Arial" w:hAnsi="Arial" w:cs="Arial"/>
          <w:sz w:val="20"/>
          <w:szCs w:val="22"/>
          <w:lang w:val="en-US"/>
        </w:rPr>
        <w:t>based on received configuration</w:t>
      </w:r>
      <w:r>
        <w:rPr>
          <w:rFonts w:hint="eastAsia" w:ascii="Arial" w:hAnsi="Arial" w:cs="Arial"/>
          <w:sz w:val="20"/>
          <w:szCs w:val="22"/>
          <w:lang w:val="en-US" w:eastAsia="zh-CN"/>
        </w:rPr>
        <w:t xml:space="preserve">, there is no need to initiate the connection re-establishment procedure or perform the actions upon going to RRC_IDLE, and the legacy operation should be performed as usual. However, we think the network needs to know when the UE cannot perform data collection. Therefore, an indication is needed from UE to network to indicate that the UE cannot perform data collection based on received configuration. Furthermore, the indication can be included in </w:t>
      </w:r>
      <w:r>
        <w:rPr>
          <w:rFonts w:hint="eastAsia" w:ascii="Arial" w:hAnsi="Arial" w:cs="Arial"/>
          <w:i/>
          <w:iCs/>
          <w:sz w:val="20"/>
          <w:szCs w:val="22"/>
          <w:lang w:val="en-US" w:eastAsia="zh-CN"/>
        </w:rPr>
        <w:t xml:space="preserve">RRCReconfigurationComplete </w:t>
      </w:r>
      <w:r>
        <w:rPr>
          <w:rFonts w:hint="eastAsia" w:ascii="Arial" w:hAnsi="Arial" w:cs="Arial"/>
          <w:sz w:val="20"/>
          <w:szCs w:val="22"/>
          <w:lang w:val="en-US" w:eastAsia="zh-CN"/>
        </w:rPr>
        <w:t xml:space="preserve">or </w:t>
      </w:r>
      <w:r>
        <w:rPr>
          <w:rFonts w:hint="eastAsia" w:ascii="Arial" w:hAnsi="Arial" w:cs="Arial"/>
          <w:i/>
          <w:iCs/>
          <w:sz w:val="20"/>
          <w:szCs w:val="22"/>
          <w:lang w:val="en-US" w:eastAsia="zh-CN"/>
        </w:rPr>
        <w:t xml:space="preserve">UEAssistanceInformation </w:t>
      </w:r>
      <w:r>
        <w:rPr>
          <w:rFonts w:hint="eastAsia" w:ascii="Arial" w:hAnsi="Arial" w:cs="Arial"/>
          <w:sz w:val="20"/>
          <w:szCs w:val="22"/>
          <w:lang w:val="en-US" w:eastAsia="zh-CN"/>
        </w:rPr>
        <w:t>message.</w:t>
      </w:r>
    </w:p>
    <w:p w14:paraId="1B454B9E">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eastAsiaTheme="minorEastAsia"/>
          <w:b/>
          <w:bCs/>
          <w:sz w:val="20"/>
          <w:szCs w:val="22"/>
          <w:lang w:val="en-US" w:eastAsia="zh-CN"/>
        </w:rPr>
      </w:pPr>
      <w:r>
        <w:rPr>
          <w:rFonts w:hint="eastAsia" w:ascii="Arial" w:hAnsi="Arial" w:cs="Arial"/>
          <w:b/>
          <w:bCs/>
          <w:sz w:val="20"/>
          <w:szCs w:val="22"/>
          <w:lang w:val="en-US" w:eastAsia="zh-CN"/>
        </w:rPr>
        <w:t>Proposal 3: A</w:t>
      </w:r>
      <w:r>
        <w:rPr>
          <w:rFonts w:hint="default" w:ascii="Arial" w:hAnsi="Arial" w:cs="Arial"/>
          <w:b/>
          <w:bCs/>
          <w:sz w:val="20"/>
          <w:szCs w:val="22"/>
          <w:lang w:val="en-US"/>
        </w:rPr>
        <w:t xml:space="preserve">n indication </w:t>
      </w:r>
      <w:r>
        <w:rPr>
          <w:rFonts w:hint="eastAsia" w:ascii="Arial" w:hAnsi="Arial" w:cs="Arial"/>
          <w:b/>
          <w:bCs/>
          <w:sz w:val="20"/>
          <w:szCs w:val="22"/>
          <w:lang w:val="en-US" w:eastAsia="zh-CN"/>
        </w:rPr>
        <w:t xml:space="preserve">is introduced in </w:t>
      </w:r>
      <w:r>
        <w:rPr>
          <w:rFonts w:hint="eastAsia" w:ascii="Arial" w:hAnsi="Arial" w:cs="Arial"/>
          <w:b/>
          <w:bCs/>
          <w:i/>
          <w:iCs/>
          <w:sz w:val="20"/>
          <w:szCs w:val="22"/>
          <w:lang w:val="en-US" w:eastAsia="zh-CN"/>
        </w:rPr>
        <w:t xml:space="preserve">RRCReconfigurationComplete </w:t>
      </w:r>
      <w:r>
        <w:rPr>
          <w:rFonts w:hint="eastAsia" w:ascii="Arial" w:hAnsi="Arial" w:cs="Arial"/>
          <w:b/>
          <w:bCs/>
          <w:sz w:val="20"/>
          <w:szCs w:val="22"/>
          <w:lang w:val="en-US" w:eastAsia="zh-CN"/>
        </w:rPr>
        <w:t xml:space="preserve">or </w:t>
      </w:r>
      <w:r>
        <w:rPr>
          <w:rFonts w:hint="eastAsia" w:ascii="Arial" w:hAnsi="Arial" w:cs="Arial"/>
          <w:b/>
          <w:bCs/>
          <w:i/>
          <w:iCs/>
          <w:sz w:val="20"/>
          <w:szCs w:val="22"/>
          <w:lang w:val="en-US" w:eastAsia="zh-CN"/>
        </w:rPr>
        <w:t xml:space="preserve">UEAssistanceInformation </w:t>
      </w:r>
      <w:r>
        <w:rPr>
          <w:rFonts w:hint="eastAsia" w:ascii="Arial" w:hAnsi="Arial" w:cs="Arial"/>
          <w:b/>
          <w:bCs/>
          <w:sz w:val="20"/>
          <w:szCs w:val="22"/>
          <w:lang w:val="en-US" w:eastAsia="zh-CN"/>
        </w:rPr>
        <w:t xml:space="preserve">message </w:t>
      </w:r>
      <w:r>
        <w:rPr>
          <w:rFonts w:hint="default" w:ascii="Arial" w:hAnsi="Arial" w:cs="Arial"/>
          <w:b/>
          <w:bCs/>
          <w:sz w:val="20"/>
          <w:szCs w:val="22"/>
          <w:lang w:val="en-US"/>
        </w:rPr>
        <w:t>when UE can’t perform data collection based on received configuration</w:t>
      </w:r>
      <w:r>
        <w:rPr>
          <w:rFonts w:hint="eastAsia" w:ascii="Arial" w:hAnsi="Arial" w:cs="Arial"/>
          <w:b/>
          <w:bCs/>
          <w:sz w:val="20"/>
          <w:szCs w:val="22"/>
          <w:lang w:val="en-US" w:eastAsia="zh-CN"/>
        </w:rPr>
        <w:t>.</w:t>
      </w:r>
    </w:p>
    <w:p w14:paraId="725BCE01">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sz w:val="20"/>
          <w:szCs w:val="22"/>
          <w:lang w:val="en-US" w:eastAsia="zh-CN"/>
        </w:rPr>
      </w:pPr>
    </w:p>
    <w:p w14:paraId="1ADD98D0">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highlight w:val="none"/>
          <w:lang w:val="en-US" w:eastAsia="zh-CN"/>
        </w:rPr>
      </w:pPr>
      <w:r>
        <w:rPr>
          <w:rFonts w:hint="eastAsia" w:ascii="Arial" w:hAnsi="Arial" w:cs="Arial"/>
          <w:b w:val="0"/>
          <w:bCs/>
          <w:sz w:val="28"/>
          <w:szCs w:val="28"/>
          <w:highlight w:val="none"/>
          <w:lang w:val="en-US" w:eastAsia="zh-CN"/>
        </w:rPr>
        <w:t>2.3 Functionality identification</w:t>
      </w:r>
    </w:p>
    <w:p w14:paraId="29814259">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sz w:val="20"/>
          <w:szCs w:val="22"/>
          <w:lang w:val="en-US" w:eastAsia="zh-CN"/>
        </w:rPr>
      </w:pPr>
      <w:r>
        <w:rPr>
          <w:rFonts w:hint="eastAsia" w:ascii="Arial" w:hAnsi="Arial" w:cs="Arial"/>
          <w:sz w:val="20"/>
          <w:szCs w:val="22"/>
          <w:lang w:val="en-US" w:eastAsia="zh-CN"/>
        </w:rPr>
        <w:t>During R18 study phase, RAN1 agreed to take the UE capability reporting as starting point for functionality identification and the UE can report the applicable functionality after functionality identification, which were captured in TR 38.843 [3].</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86A7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1B182E8">
            <w:pPr>
              <w:pStyle w:val="4"/>
              <w:keepLines w:val="0"/>
              <w:pageBreakBefore w:val="0"/>
              <w:widowControl w:val="0"/>
              <w:numPr>
                <w:ilvl w:val="2"/>
                <w:numId w:val="0"/>
              </w:numPr>
              <w:tabs>
                <w:tab w:val="left" w:pos="432"/>
                <w:tab w:val="left" w:pos="1002"/>
                <w:tab w:val="clear" w:pos="720"/>
              </w:tabs>
              <w:kinsoku/>
              <w:wordWrap/>
              <w:overflowPunct/>
              <w:topLinePunct w:val="0"/>
              <w:autoSpaceDE/>
              <w:autoSpaceDN/>
              <w:bidi w:val="0"/>
              <w:adjustRightInd/>
              <w:snapToGrid/>
              <w:spacing w:after="120"/>
              <w:ind w:leftChars="0" w:right="210" w:rightChars="100"/>
              <w:textAlignment w:val="auto"/>
              <w:rPr>
                <w:rFonts w:hint="default" w:ascii="Arial" w:hAnsi="Arial" w:cs="Arial"/>
                <w:sz w:val="28"/>
                <w:szCs w:val="24"/>
              </w:rPr>
            </w:pPr>
            <w:r>
              <w:rPr>
                <w:rFonts w:hint="default" w:ascii="Arial" w:hAnsi="Arial" w:cs="Arial"/>
                <w:sz w:val="28"/>
                <w:szCs w:val="24"/>
              </w:rPr>
              <w:t>4.2.1</w:t>
            </w:r>
            <w:r>
              <w:rPr>
                <w:rFonts w:hint="default" w:ascii="Arial" w:hAnsi="Arial" w:cs="Arial"/>
                <w:sz w:val="28"/>
                <w:szCs w:val="24"/>
              </w:rPr>
              <w:tab/>
            </w:r>
            <w:r>
              <w:rPr>
                <w:rFonts w:hint="default" w:ascii="Arial" w:hAnsi="Arial" w:cs="Arial"/>
                <w:sz w:val="28"/>
                <w:szCs w:val="24"/>
              </w:rPr>
              <w:t>LCM Flavours</w:t>
            </w:r>
          </w:p>
          <w:p w14:paraId="5DA00948">
            <w:pPr>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1"/>
              </w:rPr>
            </w:pPr>
            <w:r>
              <w:rPr>
                <w:rFonts w:hint="default" w:ascii="Arial" w:hAnsi="Arial" w:cs="Arial"/>
                <w:sz w:val="20"/>
                <w:szCs w:val="21"/>
              </w:rPr>
              <w:t xml:space="preserve">The LCM procedure is studied for the case that an AI/ML model has a </w:t>
            </w:r>
            <w:r>
              <w:rPr>
                <w:rFonts w:hint="default" w:ascii="Arial" w:hAnsi="Arial" w:cs="Arial"/>
                <w:i/>
                <w:iCs/>
                <w:sz w:val="20"/>
                <w:szCs w:val="21"/>
              </w:rPr>
              <w:t>model ID</w:t>
            </w:r>
            <w:r>
              <w:rPr>
                <w:rFonts w:hint="default" w:ascii="Arial" w:hAnsi="Arial" w:cs="Arial"/>
                <w:sz w:val="20"/>
                <w:szCs w:val="21"/>
              </w:rPr>
              <w:t xml:space="preserve"> with associated information and/or for the case that a given </w:t>
            </w:r>
            <w:r>
              <w:rPr>
                <w:rFonts w:hint="default" w:ascii="Arial" w:hAnsi="Arial" w:cs="Arial"/>
                <w:i/>
                <w:iCs/>
                <w:sz w:val="20"/>
                <w:szCs w:val="21"/>
              </w:rPr>
              <w:t>functionality</w:t>
            </w:r>
            <w:r>
              <w:rPr>
                <w:rFonts w:hint="default" w:ascii="Arial" w:hAnsi="Arial" w:cs="Arial"/>
                <w:sz w:val="20"/>
                <w:szCs w:val="21"/>
              </w:rPr>
              <w:t xml:space="preserve"> is provided by some AI/ML operations. Note: Applicability of functionality-based LCM and model-ID-based LCM is a separate discussion.</w:t>
            </w:r>
          </w:p>
          <w:p w14:paraId="6DE93C9A">
            <w:pPr>
              <w:keepLines w:val="0"/>
              <w:pageBreakBefore w:val="0"/>
              <w:widowControl w:val="0"/>
              <w:kinsoku/>
              <w:wordWrap/>
              <w:overflowPunct/>
              <w:topLinePunct w:val="0"/>
              <w:autoSpaceDE/>
              <w:autoSpaceDN/>
              <w:bidi w:val="0"/>
              <w:adjustRightInd/>
              <w:snapToGrid/>
              <w:spacing w:after="120"/>
              <w:textAlignment w:val="auto"/>
              <w:rPr>
                <w:rFonts w:hint="default" w:ascii="Arial" w:hAnsi="Arial" w:eastAsia="Calibri" w:cs="Arial"/>
                <w:sz w:val="20"/>
                <w:szCs w:val="21"/>
              </w:rPr>
            </w:pPr>
            <w:r>
              <w:rPr>
                <w:rFonts w:hint="default" w:ascii="Arial" w:hAnsi="Arial" w:cs="Arial"/>
                <w:sz w:val="20"/>
                <w:szCs w:val="21"/>
              </w:rPr>
              <w:t xml:space="preserve">From RAN1 perspective, an AI/ML model identified by a model ID may be </w:t>
            </w:r>
            <w:r>
              <w:rPr>
                <w:rFonts w:hint="default" w:ascii="Arial" w:hAnsi="Arial" w:cs="Arial"/>
                <w:i/>
                <w:sz w:val="20"/>
                <w:szCs w:val="21"/>
              </w:rPr>
              <w:t>logical</w:t>
            </w:r>
            <w:r>
              <w:rPr>
                <w:rFonts w:hint="default" w:ascii="Arial" w:hAnsi="Arial" w:cs="Arial"/>
                <w:sz w:val="20"/>
                <w:szCs w:val="21"/>
              </w:rPr>
              <w:t>, and how it maps to physical AI/ML model(s) may be up to implementation.</w:t>
            </w:r>
            <w:r>
              <w:rPr>
                <w:rFonts w:hint="default" w:ascii="Arial" w:hAnsi="Arial" w:eastAsia="Calibri" w:cs="Arial"/>
                <w:sz w:val="20"/>
                <w:szCs w:val="21"/>
              </w:rPr>
              <w:t xml:space="preserve"> When distinction is necessary for discussion purposes, companies may use the term a</w:t>
            </w:r>
            <w:r>
              <w:rPr>
                <w:rFonts w:hint="default" w:ascii="Arial" w:hAnsi="Arial" w:eastAsia="Calibri" w:cs="Arial"/>
                <w:sz w:val="20"/>
                <w:szCs w:val="21"/>
                <w:highlight w:val="none"/>
              </w:rPr>
              <w:t xml:space="preserve"> </w:t>
            </w:r>
            <w:r>
              <w:rPr>
                <w:rFonts w:hint="default" w:ascii="Arial" w:hAnsi="Arial" w:eastAsia="Calibri" w:cs="Arial"/>
                <w:i/>
                <w:iCs/>
                <w:sz w:val="20"/>
                <w:szCs w:val="21"/>
                <w:highlight w:val="none"/>
              </w:rPr>
              <w:t>logical AI/ML model</w:t>
            </w:r>
            <w:r>
              <w:rPr>
                <w:rFonts w:hint="default" w:ascii="Arial" w:hAnsi="Arial" w:eastAsia="Calibri" w:cs="Arial"/>
                <w:sz w:val="20"/>
                <w:szCs w:val="21"/>
                <w:highlight w:val="none"/>
              </w:rPr>
              <w:t xml:space="preserve"> to refer to a model that is identified and assigned a model ID, and </w:t>
            </w:r>
            <w:r>
              <w:rPr>
                <w:rFonts w:hint="default" w:ascii="Arial" w:hAnsi="Arial" w:eastAsia="Calibri" w:cs="Arial"/>
                <w:i/>
                <w:iCs/>
                <w:sz w:val="20"/>
                <w:szCs w:val="21"/>
                <w:highlight w:val="none"/>
              </w:rPr>
              <w:t>physical AI/ML model(s)</w:t>
            </w:r>
            <w:r>
              <w:rPr>
                <w:rFonts w:hint="default" w:ascii="Arial" w:hAnsi="Arial" w:eastAsia="Calibri" w:cs="Arial"/>
                <w:sz w:val="20"/>
                <w:szCs w:val="21"/>
                <w:highlight w:val="none"/>
              </w:rPr>
              <w:t xml:space="preserve"> </w:t>
            </w:r>
            <w:r>
              <w:rPr>
                <w:rFonts w:hint="default" w:ascii="Arial" w:hAnsi="Arial" w:eastAsia="Calibri" w:cs="Arial"/>
                <w:sz w:val="20"/>
                <w:szCs w:val="21"/>
              </w:rPr>
              <w:t>to refer to an actual implementation of such a model.</w:t>
            </w:r>
            <w:r>
              <w:rPr>
                <w:rFonts w:hint="default" w:ascii="Arial" w:hAnsi="Arial" w:cs="Arial"/>
                <w:i/>
                <w:iCs/>
                <w:sz w:val="20"/>
                <w:szCs w:val="21"/>
              </w:rPr>
              <w:t xml:space="preserve"> </w:t>
            </w:r>
          </w:p>
          <w:p w14:paraId="133CB2B8">
            <w:pPr>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1"/>
              </w:rPr>
            </w:pPr>
            <w:r>
              <w:rPr>
                <w:rFonts w:hint="default" w:ascii="Arial" w:hAnsi="Arial" w:cs="Arial"/>
                <w:sz w:val="20"/>
                <w:szCs w:val="21"/>
              </w:rPr>
              <w:t>For UE-side models and UE-part of two-sided models:</w:t>
            </w:r>
          </w:p>
          <w:p w14:paraId="1B94C3D7">
            <w:pPr>
              <w:pStyle w:val="24"/>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1"/>
                <w:highlight w:val="yellow"/>
              </w:rPr>
            </w:pPr>
            <w:r>
              <w:rPr>
                <w:rFonts w:hint="default" w:ascii="Arial" w:hAnsi="Arial" w:cs="Arial"/>
                <w:sz w:val="20"/>
                <w:szCs w:val="21"/>
                <w:highlight w:val="yellow"/>
              </w:rPr>
              <w:t>-</w:t>
            </w:r>
            <w:r>
              <w:rPr>
                <w:rFonts w:hint="default" w:ascii="Arial" w:hAnsi="Arial" w:cs="Arial"/>
                <w:sz w:val="20"/>
                <w:szCs w:val="21"/>
                <w:highlight w:val="yellow"/>
              </w:rPr>
              <w:tab/>
            </w:r>
            <w:r>
              <w:rPr>
                <w:rFonts w:hint="default" w:ascii="Arial" w:hAnsi="Arial" w:cs="Arial"/>
                <w:sz w:val="20"/>
                <w:szCs w:val="21"/>
                <w:highlight w:val="yellow"/>
              </w:rPr>
              <w:t>For AI/ML functionality identification</w:t>
            </w:r>
          </w:p>
          <w:p w14:paraId="2FE42E70">
            <w:pPr>
              <w:pStyle w:val="35"/>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1"/>
                <w:highlight w:val="yellow"/>
              </w:rPr>
            </w:pPr>
            <w:r>
              <w:rPr>
                <w:rFonts w:hint="default" w:ascii="Arial" w:hAnsi="Arial" w:cs="Arial"/>
                <w:sz w:val="20"/>
                <w:szCs w:val="21"/>
                <w:highlight w:val="yellow"/>
              </w:rPr>
              <w:t>-</w:t>
            </w:r>
            <w:r>
              <w:rPr>
                <w:rFonts w:hint="default" w:ascii="Arial" w:hAnsi="Arial" w:cs="Arial"/>
                <w:sz w:val="20"/>
                <w:szCs w:val="21"/>
                <w:highlight w:val="yellow"/>
              </w:rPr>
              <w:tab/>
            </w:r>
            <w:r>
              <w:rPr>
                <w:rFonts w:hint="default" w:ascii="Arial" w:hAnsi="Arial" w:cs="Arial"/>
                <w:sz w:val="20"/>
                <w:szCs w:val="21"/>
                <w:highlight w:val="yellow"/>
              </w:rPr>
              <w:t>Legacy 3GPP framework of feature is taken as a starting point.</w:t>
            </w:r>
          </w:p>
          <w:p w14:paraId="7DD90288">
            <w:pPr>
              <w:pStyle w:val="35"/>
              <w:keepLines w:val="0"/>
              <w:pageBreakBefore w:val="0"/>
              <w:widowControl w:val="0"/>
              <w:kinsoku/>
              <w:wordWrap/>
              <w:overflowPunct/>
              <w:topLinePunct w:val="0"/>
              <w:autoSpaceDE/>
              <w:autoSpaceDN/>
              <w:bidi w:val="0"/>
              <w:adjustRightInd/>
              <w:snapToGrid/>
              <w:spacing w:after="120"/>
              <w:ind w:left="850" w:hanging="288"/>
              <w:textAlignment w:val="auto"/>
              <w:rPr>
                <w:rFonts w:hint="default" w:ascii="Arial" w:hAnsi="Arial" w:cs="Arial"/>
                <w:sz w:val="20"/>
                <w:szCs w:val="21"/>
                <w:highlight w:val="yellow"/>
              </w:rPr>
            </w:pPr>
            <w:r>
              <w:rPr>
                <w:rFonts w:hint="default" w:ascii="Arial" w:hAnsi="Arial" w:cs="Arial"/>
                <w:sz w:val="20"/>
                <w:szCs w:val="21"/>
                <w:highlight w:val="yellow"/>
              </w:rPr>
              <w:t>-</w:t>
            </w:r>
            <w:r>
              <w:rPr>
                <w:rFonts w:hint="default" w:ascii="Arial" w:hAnsi="Arial" w:cs="Arial"/>
                <w:sz w:val="20"/>
                <w:szCs w:val="21"/>
                <w:highlight w:val="yellow"/>
              </w:rPr>
              <w:tab/>
            </w:r>
            <w:r>
              <w:rPr>
                <w:rFonts w:hint="default" w:ascii="Arial" w:hAnsi="Arial" w:cs="Arial"/>
                <w:sz w:val="20"/>
                <w:szCs w:val="21"/>
                <w:highlight w:val="yellow"/>
              </w:rPr>
              <w:t>UE indicates supported functionalities/functionality for a given sub-use-case.</w:t>
            </w:r>
          </w:p>
          <w:p w14:paraId="6F48EE73">
            <w:pPr>
              <w:pStyle w:val="39"/>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1"/>
                <w:highlight w:val="yellow"/>
              </w:rPr>
            </w:pPr>
            <w:r>
              <w:rPr>
                <w:rFonts w:hint="default" w:ascii="Arial" w:hAnsi="Arial" w:cs="Arial"/>
                <w:sz w:val="20"/>
                <w:szCs w:val="21"/>
                <w:highlight w:val="yellow"/>
                <w:lang w:eastAsia="zh-CN"/>
              </w:rPr>
              <w:t>-</w:t>
            </w:r>
            <w:r>
              <w:rPr>
                <w:rFonts w:hint="default" w:ascii="Arial" w:hAnsi="Arial" w:cs="Arial"/>
                <w:sz w:val="20"/>
                <w:szCs w:val="21"/>
                <w:highlight w:val="yellow"/>
                <w:lang w:eastAsia="zh-CN"/>
              </w:rPr>
              <w:tab/>
            </w:r>
            <w:r>
              <w:rPr>
                <w:rFonts w:hint="default" w:ascii="Arial" w:hAnsi="Arial" w:cs="Arial"/>
                <w:sz w:val="20"/>
                <w:szCs w:val="21"/>
                <w:highlight w:val="yellow"/>
                <w:lang w:eastAsia="zh-CN"/>
              </w:rPr>
              <w:t>UE capability reporting is taken as starting point.</w:t>
            </w:r>
          </w:p>
          <w:p w14:paraId="2637A95E">
            <w:pPr>
              <w:pStyle w:val="24"/>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 xml:space="preserve">For AI/ML model identification </w:t>
            </w:r>
          </w:p>
          <w:p w14:paraId="48E361F3">
            <w:pPr>
              <w:pStyle w:val="35"/>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Models are identified by model ID at the Network. UE indicates supported AI/ML models.</w:t>
            </w:r>
          </w:p>
          <w:p w14:paraId="44FBD660">
            <w:pPr>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i/>
                <w:iCs/>
                <w:sz w:val="20"/>
                <w:szCs w:val="21"/>
                <w:lang w:val="en-US" w:eastAsia="zh-CN"/>
              </w:rPr>
            </w:pPr>
            <w:r>
              <w:rPr>
                <w:rFonts w:hint="eastAsia" w:ascii="Arial" w:hAnsi="Arial" w:cs="Arial"/>
                <w:i/>
                <w:iCs/>
                <w:sz w:val="20"/>
                <w:szCs w:val="21"/>
                <w:lang w:val="en-US" w:eastAsia="zh-CN"/>
              </w:rPr>
              <w:t>&lt;omitted&gt;</w:t>
            </w:r>
          </w:p>
          <w:p w14:paraId="27D39BDC">
            <w:pPr>
              <w:keepLines w:val="0"/>
              <w:pageBreakBefore w:val="0"/>
              <w:widowControl w:val="0"/>
              <w:kinsoku/>
              <w:wordWrap/>
              <w:overflowPunct/>
              <w:topLinePunct w:val="0"/>
              <w:autoSpaceDE/>
              <w:autoSpaceDN/>
              <w:bidi w:val="0"/>
              <w:adjustRightInd/>
              <w:snapToGrid/>
              <w:spacing w:after="120"/>
              <w:textAlignment w:val="auto"/>
              <w:rPr>
                <w:rFonts w:hint="default" w:ascii="Arial" w:hAnsi="Arial" w:cs="Arial"/>
                <w:sz w:val="20"/>
                <w:szCs w:val="21"/>
              </w:rPr>
            </w:pPr>
            <w:r>
              <w:rPr>
                <w:rFonts w:hint="default" w:ascii="Arial" w:hAnsi="Arial" w:cs="Arial"/>
                <w:sz w:val="20"/>
                <w:szCs w:val="21"/>
                <w:highlight w:val="yellow"/>
              </w:rPr>
              <w:t>After functionality identification</w:t>
            </w:r>
            <w:r>
              <w:rPr>
                <w:rFonts w:hint="default" w:ascii="Arial" w:hAnsi="Arial" w:cs="Arial"/>
                <w:sz w:val="20"/>
                <w:szCs w:val="21"/>
              </w:rPr>
              <w:t>, necessity, mechanisms, for </w:t>
            </w:r>
            <w:r>
              <w:rPr>
                <w:rFonts w:hint="default" w:ascii="Arial" w:hAnsi="Arial" w:cs="Arial"/>
                <w:sz w:val="20"/>
                <w:szCs w:val="21"/>
                <w:highlight w:val="yellow"/>
              </w:rPr>
              <w:t>UE to report updates on applicable functionality(es)</w:t>
            </w:r>
            <w:r>
              <w:rPr>
                <w:rFonts w:hint="default" w:ascii="Arial" w:hAnsi="Arial" w:cs="Arial"/>
                <w:sz w:val="20"/>
                <w:szCs w:val="21"/>
              </w:rPr>
              <w:t xml:space="preserve"> among functionality(es) are studied, where the applicable functionalities may be a subset of all functionalities. Applicable functionalities can be reported by the UE.</w:t>
            </w:r>
          </w:p>
          <w:p w14:paraId="55385962">
            <w:pPr>
              <w:keepLines w:val="0"/>
              <w:pageBreakBefore w:val="0"/>
              <w:widowControl w:val="0"/>
              <w:kinsoku/>
              <w:wordWrap/>
              <w:overflowPunct/>
              <w:topLinePunct w:val="0"/>
              <w:autoSpaceDE/>
              <w:autoSpaceDN/>
              <w:bidi w:val="0"/>
              <w:adjustRightInd/>
              <w:snapToGrid/>
              <w:spacing w:after="120"/>
              <w:textAlignment w:val="auto"/>
              <w:rPr>
                <w:rFonts w:hint="eastAsia" w:ascii="Arial" w:hAnsi="Arial" w:cs="Arial"/>
                <w:sz w:val="20"/>
                <w:szCs w:val="22"/>
                <w:vertAlign w:val="baseline"/>
                <w:lang w:val="en-US" w:eastAsia="zh-CN"/>
              </w:rPr>
            </w:pPr>
            <w:r>
              <w:rPr>
                <w:rFonts w:hint="eastAsia" w:ascii="Arial" w:hAnsi="Arial" w:cs="Arial"/>
                <w:i/>
                <w:iCs/>
                <w:sz w:val="20"/>
                <w:szCs w:val="21"/>
                <w:lang w:val="en-US" w:eastAsia="zh-CN"/>
              </w:rPr>
              <w:t>&lt;omitted&gt;</w:t>
            </w:r>
          </w:p>
        </w:tc>
      </w:tr>
    </w:tbl>
    <w:p w14:paraId="62C3E796">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sz w:val="20"/>
          <w:szCs w:val="22"/>
          <w:lang w:val="en-US" w:eastAsia="zh-CN"/>
        </w:rPr>
      </w:pPr>
      <w:r>
        <w:rPr>
          <w:rFonts w:hint="eastAsia" w:ascii="Arial" w:hAnsi="Arial" w:cs="Arial"/>
          <w:sz w:val="20"/>
          <w:szCs w:val="22"/>
          <w:lang w:val="en-US" w:eastAsia="zh-CN"/>
        </w:rPr>
        <w:t>In R19, RAN2 discussed the basic procedure of applicable functionality reporting which includes the UE capability reporting</w:t>
      </w:r>
      <w:r>
        <w:rPr>
          <w:rFonts w:hint="default" w:ascii="Arial" w:hAnsi="Arial" w:cs="Arial"/>
          <w:sz w:val="20"/>
          <w:szCs w:val="20"/>
          <w:lang w:val="en-US" w:eastAsia="zh-CN"/>
        </w:rPr>
        <w:t xml:space="preserve"> </w:t>
      </w:r>
      <w:r>
        <w:rPr>
          <w:rFonts w:hint="default" w:ascii="Arial" w:hAnsi="Arial" w:cs="Arial"/>
          <w:sz w:val="20"/>
          <w:szCs w:val="20"/>
        </w:rPr>
        <w:t xml:space="preserve">containing </w:t>
      </w:r>
      <w:r>
        <w:rPr>
          <w:rFonts w:hint="eastAsia" w:ascii="Arial" w:hAnsi="Arial" w:cs="Arial"/>
          <w:sz w:val="20"/>
          <w:szCs w:val="20"/>
          <w:lang w:val="en-US" w:eastAsia="zh-CN"/>
        </w:rPr>
        <w:t xml:space="preserve">the </w:t>
      </w:r>
      <w:r>
        <w:rPr>
          <w:rFonts w:hint="default" w:ascii="Arial" w:hAnsi="Arial" w:cs="Arial"/>
          <w:sz w:val="20"/>
          <w:szCs w:val="20"/>
        </w:rPr>
        <w:t>supported functionalities</w:t>
      </w:r>
      <w:r>
        <w:rPr>
          <w:rFonts w:hint="eastAsia" w:ascii="Arial" w:hAnsi="Arial" w:cs="Arial"/>
          <w:sz w:val="20"/>
          <w:szCs w:val="20"/>
          <w:lang w:val="en-US" w:eastAsia="zh-CN"/>
        </w:rPr>
        <w:t xml:space="preserve"> in UE side</w:t>
      </w:r>
      <w:r>
        <w:rPr>
          <w:rFonts w:hint="eastAsia" w:ascii="Arial" w:hAnsi="Arial" w:cs="Arial"/>
          <w:sz w:val="20"/>
          <w:szCs w:val="22"/>
          <w:lang w:val="en-US" w:eastAsia="zh-CN"/>
        </w:rPr>
        <w:t>. In our understanding, functionality identification is achieved in step 1 and step 2. Therefore, we think there is no need to introduce an additional definition and procedure for functionality identification.</w:t>
      </w:r>
    </w:p>
    <w:p w14:paraId="7C3D2849">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bCs/>
          <w:sz w:val="20"/>
          <w:szCs w:val="22"/>
          <w:lang w:val="en-US" w:eastAsia="zh-CN"/>
        </w:rPr>
      </w:pPr>
      <w:r>
        <w:rPr>
          <w:rFonts w:hint="eastAsia" w:ascii="Arial" w:hAnsi="Arial" w:cs="Arial"/>
          <w:b/>
          <w:bCs/>
          <w:sz w:val="20"/>
          <w:szCs w:val="22"/>
          <w:lang w:val="en-US" w:eastAsia="zh-CN"/>
        </w:rPr>
        <w:t xml:space="preserve">Proposal 4: There is no need to introduce the definition and procedure for functionality identification since it is achieved in UE capability reporting (i.e. step1/2 of applicable functionality reporting). </w:t>
      </w:r>
    </w:p>
    <w:p w14:paraId="2F19C97C">
      <w:pPr>
        <w:numPr>
          <w:ilvl w:val="0"/>
          <w:numId w:val="0"/>
        </w:numPr>
        <w:spacing w:before="120" w:beforeLines="50" w:after="120" w:line="260" w:lineRule="exact"/>
        <w:rPr>
          <w:rFonts w:hint="eastAsia" w:ascii="Arial" w:hAnsi="Arial" w:cs="Arial"/>
          <w:b/>
          <w:bCs/>
          <w:sz w:val="20"/>
          <w:szCs w:val="20"/>
          <w:lang w:val="en-US" w:eastAsia="zh-CN"/>
        </w:rPr>
      </w:pPr>
    </w:p>
    <w:p w14:paraId="37A6ABD4">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3D67037D">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LCM for UE-sided model for beam management</w:t>
      </w:r>
      <w:r>
        <w:rPr>
          <w:rFonts w:ascii="Arial" w:hAnsi="Arial" w:eastAsia="宋体" w:cs="Arial"/>
          <w:kern w:val="0"/>
          <w:sz w:val="20"/>
          <w:szCs w:val="20"/>
          <w:lang w:val="en-GB" w:eastAsia="en-US"/>
        </w:rPr>
        <w:t>.</w:t>
      </w:r>
    </w:p>
    <w:p w14:paraId="2359DE00">
      <w:pPr>
        <w:pStyle w:val="9"/>
        <w:spacing w:before="120" w:beforeLines="50" w:after="120" w:line="260" w:lineRule="exact"/>
        <w:ind w:leftChars="0"/>
        <w:rPr>
          <w:rFonts w:hint="eastAsia" w:ascii="Arial" w:hAnsi="Arial" w:cs="Arial"/>
          <w:b/>
          <w:bCs/>
          <w:i/>
          <w:iCs/>
          <w:sz w:val="20"/>
          <w:szCs w:val="20"/>
          <w:u w:val="single"/>
          <w:lang w:val="en-US" w:eastAsia="zh-CN"/>
        </w:rPr>
      </w:pPr>
      <w:r>
        <w:rPr>
          <w:rFonts w:hint="eastAsia" w:ascii="Arial" w:hAnsi="Arial" w:cs="Arial"/>
          <w:b/>
          <w:bCs/>
          <w:i/>
          <w:iCs/>
          <w:sz w:val="20"/>
          <w:szCs w:val="20"/>
          <w:u w:val="single"/>
          <w:lang w:val="en-US" w:eastAsia="zh-CN"/>
        </w:rPr>
        <w:t>Applicable functionality reporting</w:t>
      </w:r>
    </w:p>
    <w:p w14:paraId="631ADED7">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default" w:ascii="Arial" w:hAnsi="Arial" w:cs="Arial"/>
          <w:b/>
          <w:bCs/>
          <w:sz w:val="20"/>
          <w:szCs w:val="20"/>
          <w:lang w:val="en-US" w:eastAsia="zh-CN"/>
        </w:rPr>
      </w:pPr>
      <w:r>
        <w:rPr>
          <w:rFonts w:hint="eastAsia" w:ascii="Arial" w:hAnsi="Arial" w:cs="Arial"/>
          <w:b/>
          <w:bCs/>
          <w:sz w:val="20"/>
          <w:szCs w:val="20"/>
          <w:lang w:val="en-US" w:eastAsia="zh-CN"/>
        </w:rPr>
        <w:t>Proposal 1: An explicit non-applicable functionality reporting to the network is not needed, since it can be indicated implicitly based on latest and last applicable functionality reporting.</w:t>
      </w:r>
    </w:p>
    <w:p w14:paraId="36662F99">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b/>
          <w:bCs/>
          <w:sz w:val="20"/>
          <w:szCs w:val="22"/>
          <w:lang w:val="en-US" w:eastAsia="zh-CN"/>
        </w:rPr>
      </w:pPr>
      <w:r>
        <w:rPr>
          <w:rFonts w:hint="eastAsia" w:ascii="Arial" w:hAnsi="Arial" w:cs="Arial"/>
          <w:b/>
          <w:bCs/>
          <w:sz w:val="20"/>
          <w:szCs w:val="20"/>
          <w:lang w:val="en-US" w:eastAsia="zh-CN"/>
        </w:rPr>
        <w:t xml:space="preserve">Proposal 2: The discussion on the issues, such as the granularity of functionality, the content and granularity of NW-side additional condition, etc. are postponed until RAN1 has further progress. </w:t>
      </w:r>
      <w:r>
        <w:rPr>
          <w:rFonts w:hint="eastAsia" w:ascii="Arial" w:hAnsi="Arial" w:cs="Arial"/>
          <w:b/>
          <w:bCs/>
          <w:sz w:val="20"/>
          <w:szCs w:val="22"/>
          <w:lang w:val="en-US" w:eastAsia="zh-CN"/>
        </w:rPr>
        <w:t xml:space="preserve"> </w:t>
      </w:r>
    </w:p>
    <w:p w14:paraId="01F9015C">
      <w:pPr>
        <w:pStyle w:val="9"/>
        <w:spacing w:before="120" w:beforeLines="50" w:after="120" w:line="260" w:lineRule="exact"/>
        <w:ind w:leftChars="0"/>
        <w:rPr>
          <w:rFonts w:hint="eastAsia" w:ascii="Arial" w:hAnsi="Arial" w:cs="Arial"/>
          <w:b/>
          <w:bCs/>
          <w:i/>
          <w:iCs/>
          <w:sz w:val="20"/>
          <w:szCs w:val="20"/>
          <w:u w:val="single"/>
          <w:lang w:val="en-US" w:eastAsia="zh-CN"/>
        </w:rPr>
      </w:pPr>
      <w:r>
        <w:rPr>
          <w:rFonts w:hint="eastAsia" w:ascii="Arial" w:hAnsi="Arial" w:cs="Arial"/>
          <w:b/>
          <w:bCs/>
          <w:i/>
          <w:iCs/>
          <w:sz w:val="20"/>
          <w:szCs w:val="20"/>
          <w:u w:val="single"/>
          <w:lang w:val="en-US" w:eastAsia="zh-CN"/>
        </w:rPr>
        <w:t>Data collection</w:t>
      </w:r>
    </w:p>
    <w:p w14:paraId="06AEF1F5">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60" w:lineRule="exact"/>
        <w:textAlignment w:val="auto"/>
        <w:rPr>
          <w:rFonts w:hint="eastAsia" w:ascii="Arial" w:hAnsi="Arial" w:cs="Arial" w:eastAsiaTheme="minorEastAsia"/>
          <w:b/>
          <w:bCs/>
          <w:sz w:val="20"/>
          <w:szCs w:val="22"/>
          <w:lang w:val="en-US" w:eastAsia="zh-CN"/>
        </w:rPr>
      </w:pPr>
      <w:r>
        <w:rPr>
          <w:rFonts w:hint="eastAsia" w:ascii="Arial" w:hAnsi="Arial" w:cs="Arial"/>
          <w:b/>
          <w:bCs/>
          <w:sz w:val="20"/>
          <w:szCs w:val="22"/>
          <w:lang w:val="en-US" w:eastAsia="zh-CN"/>
        </w:rPr>
        <w:t>Proposal 3: A</w:t>
      </w:r>
      <w:r>
        <w:rPr>
          <w:rFonts w:hint="default" w:ascii="Arial" w:hAnsi="Arial" w:cs="Arial"/>
          <w:b/>
          <w:bCs/>
          <w:sz w:val="20"/>
          <w:szCs w:val="22"/>
          <w:lang w:val="en-US"/>
        </w:rPr>
        <w:t xml:space="preserve">n indication </w:t>
      </w:r>
      <w:r>
        <w:rPr>
          <w:rFonts w:hint="eastAsia" w:ascii="Arial" w:hAnsi="Arial" w:cs="Arial"/>
          <w:b/>
          <w:bCs/>
          <w:sz w:val="20"/>
          <w:szCs w:val="22"/>
          <w:lang w:val="en-US" w:eastAsia="zh-CN"/>
        </w:rPr>
        <w:t xml:space="preserve">is introduced in </w:t>
      </w:r>
      <w:r>
        <w:rPr>
          <w:rFonts w:hint="eastAsia" w:ascii="Arial" w:hAnsi="Arial" w:cs="Arial"/>
          <w:b/>
          <w:bCs/>
          <w:i/>
          <w:iCs/>
          <w:sz w:val="20"/>
          <w:szCs w:val="22"/>
          <w:lang w:val="en-US" w:eastAsia="zh-CN"/>
        </w:rPr>
        <w:t xml:space="preserve">RRCReconfigurationComplete </w:t>
      </w:r>
      <w:r>
        <w:rPr>
          <w:rFonts w:hint="eastAsia" w:ascii="Arial" w:hAnsi="Arial" w:cs="Arial"/>
          <w:b/>
          <w:bCs/>
          <w:sz w:val="20"/>
          <w:szCs w:val="22"/>
          <w:lang w:val="en-US" w:eastAsia="zh-CN"/>
        </w:rPr>
        <w:t xml:space="preserve">or </w:t>
      </w:r>
      <w:r>
        <w:rPr>
          <w:rFonts w:hint="eastAsia" w:ascii="Arial" w:hAnsi="Arial" w:cs="Arial"/>
          <w:b/>
          <w:bCs/>
          <w:i/>
          <w:iCs/>
          <w:sz w:val="20"/>
          <w:szCs w:val="22"/>
          <w:lang w:val="en-US" w:eastAsia="zh-CN"/>
        </w:rPr>
        <w:t xml:space="preserve">UEAssistanceInformation </w:t>
      </w:r>
      <w:r>
        <w:rPr>
          <w:rFonts w:hint="eastAsia" w:ascii="Arial" w:hAnsi="Arial" w:cs="Arial"/>
          <w:b/>
          <w:bCs/>
          <w:sz w:val="20"/>
          <w:szCs w:val="22"/>
          <w:lang w:val="en-US" w:eastAsia="zh-CN"/>
        </w:rPr>
        <w:t xml:space="preserve">message </w:t>
      </w:r>
      <w:r>
        <w:rPr>
          <w:rFonts w:hint="default" w:ascii="Arial" w:hAnsi="Arial" w:cs="Arial"/>
          <w:b/>
          <w:bCs/>
          <w:sz w:val="20"/>
          <w:szCs w:val="22"/>
          <w:lang w:val="en-US"/>
        </w:rPr>
        <w:t>when UE can’t perform data collection based on received configuration</w:t>
      </w:r>
      <w:r>
        <w:rPr>
          <w:rFonts w:hint="eastAsia" w:ascii="Arial" w:hAnsi="Arial" w:cs="Arial"/>
          <w:b/>
          <w:bCs/>
          <w:sz w:val="20"/>
          <w:szCs w:val="22"/>
          <w:lang w:val="en-US" w:eastAsia="zh-CN"/>
        </w:rPr>
        <w:t>.</w:t>
      </w:r>
    </w:p>
    <w:p w14:paraId="376416D6">
      <w:pPr>
        <w:pStyle w:val="9"/>
        <w:spacing w:before="120" w:beforeLines="50" w:after="120" w:line="260" w:lineRule="exact"/>
        <w:ind w:leftChars="0"/>
        <w:rPr>
          <w:rFonts w:hint="default" w:ascii="Arial" w:hAnsi="Arial" w:cs="Arial"/>
          <w:b/>
          <w:bCs/>
          <w:i/>
          <w:iCs/>
          <w:sz w:val="20"/>
          <w:szCs w:val="20"/>
          <w:u w:val="single"/>
          <w:lang w:val="en-US" w:eastAsia="zh-CN"/>
        </w:rPr>
      </w:pPr>
      <w:r>
        <w:rPr>
          <w:rFonts w:hint="eastAsia" w:ascii="Arial" w:hAnsi="Arial" w:cs="Arial"/>
          <w:b/>
          <w:bCs/>
          <w:i/>
          <w:iCs/>
          <w:sz w:val="20"/>
          <w:szCs w:val="20"/>
          <w:u w:val="single"/>
          <w:lang w:val="en-US" w:eastAsia="zh-CN"/>
        </w:rPr>
        <w:t>Functionality identification</w:t>
      </w:r>
    </w:p>
    <w:p w14:paraId="3103D1F0">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9"/>
        <w:rPr>
          <w:rFonts w:hint="default" w:ascii="Arial" w:hAnsi="Arial" w:cs="Arial"/>
          <w:b/>
          <w:bCs/>
          <w:sz w:val="20"/>
          <w:szCs w:val="22"/>
          <w:lang w:val="en-US" w:eastAsia="zh-CN"/>
        </w:rPr>
      </w:pPr>
      <w:r>
        <w:rPr>
          <w:rFonts w:hint="eastAsia" w:ascii="Arial" w:hAnsi="Arial" w:cs="Arial"/>
          <w:b/>
          <w:bCs/>
          <w:sz w:val="20"/>
          <w:szCs w:val="22"/>
          <w:lang w:val="en-US" w:eastAsia="zh-CN"/>
        </w:rPr>
        <w:t xml:space="preserve">Proposal 4: There is no need to introduce the definition and procedure for functionality identification since it is achieved in UE capability reporting (i.e. step1/2 of applicable functionality reporting). </w:t>
      </w:r>
    </w:p>
    <w:p w14:paraId="547E8942">
      <w:pPr>
        <w:pStyle w:val="9"/>
        <w:spacing w:before="120" w:beforeLines="50" w:after="120" w:line="260" w:lineRule="exact"/>
        <w:ind w:leftChars="0"/>
        <w:rPr>
          <w:rFonts w:hint="eastAsia" w:ascii="Arial" w:hAnsi="Arial" w:cs="Arial"/>
          <w:b/>
          <w:bCs/>
          <w:sz w:val="20"/>
          <w:szCs w:val="20"/>
          <w:lang w:val="en-US" w:eastAsia="zh-CN"/>
        </w:rPr>
      </w:pPr>
    </w:p>
    <w:p w14:paraId="793C40C1">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6399B016">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8</w:t>
      </w:r>
      <w:r>
        <w:rPr>
          <w:rFonts w:hint="eastAsia" w:ascii="Arial" w:hAnsi="Arial" w:eastAsia="宋体" w:cs="Arial"/>
          <w:kern w:val="0"/>
          <w:sz w:val="20"/>
          <w:szCs w:val="20"/>
          <w:lang w:val="en-GB" w:eastAsia="en-US"/>
        </w:rPr>
        <w:t>_Meeting_Report_v</w:t>
      </w:r>
      <w:r>
        <w:rPr>
          <w:rFonts w:hint="eastAsia" w:ascii="Arial" w:hAnsi="Arial" w:eastAsia="宋体" w:cs="Arial"/>
          <w:kern w:val="0"/>
          <w:sz w:val="20"/>
          <w:szCs w:val="20"/>
          <w:lang w:val="en-US" w:eastAsia="zh-CN"/>
        </w:rPr>
        <w:t>1</w:t>
      </w:r>
    </w:p>
    <w:p w14:paraId="7850C9C2">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R1-2410898 Reply LS on applicable functionality reporting for beam management UE-sided model</w:t>
      </w:r>
    </w:p>
    <w:p w14:paraId="5607344D">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rPr>
        <w:t>TR 38.843 Study on Artificial Intelligence (AI)/Machine Learning (ML) for NR air interface</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Times-Roman">
    <w:altName w:val="Times New Roman"/>
    <w:panose1 w:val="00000000000000000000"/>
    <w:charset w:val="00"/>
    <w:family w:val="auto"/>
    <w:pitch w:val="default"/>
    <w:sig w:usb0="00000000" w:usb1="00000000" w:usb2="00000000" w:usb3="00000000" w:csb0="00000000" w:csb1="00000000"/>
  </w:font>
  <w:font w:name="Times-Itali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04281406"/>
    <w:multiLevelType w:val="multilevel"/>
    <w:tmpl w:val="04281406"/>
    <w:lvl w:ilvl="0" w:tentative="0">
      <w:start w:val="1"/>
      <w:numFmt w:val="decimal"/>
      <w:lvlText w:val="%1."/>
      <w:lvlJc w:val="left"/>
      <w:pPr>
        <w:ind w:left="1619" w:hanging="360"/>
      </w:p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50BED944"/>
    <w:multiLevelType w:val="singleLevel"/>
    <w:tmpl w:val="50BED944"/>
    <w:lvl w:ilvl="0" w:tentative="0">
      <w:start w:val="1"/>
      <w:numFmt w:val="decimal"/>
      <w:lvlText w:val="%1"/>
      <w:lvlJc w:val="left"/>
    </w:lvl>
  </w:abstractNum>
  <w:abstractNum w:abstractNumId="6">
    <w:nsid w:val="5BFC153E"/>
    <w:multiLevelType w:val="multilevel"/>
    <w:tmpl w:val="5BFC153E"/>
    <w:lvl w:ilvl="0" w:tentative="0">
      <w:start w:val="1"/>
      <w:numFmt w:val="bullet"/>
      <w:lvlText w:val="•"/>
      <w:lvlJc w:val="left"/>
      <w:pPr>
        <w:tabs>
          <w:tab w:val="left" w:pos="360"/>
        </w:tabs>
        <w:ind w:left="360" w:hanging="360"/>
      </w:pPr>
      <w:rPr>
        <w:rFonts w:hint="default" w:ascii="Arial" w:hAnsi="Arial" w:cs="Times New Roman"/>
      </w:rPr>
    </w:lvl>
    <w:lvl w:ilvl="1" w:tentative="0">
      <w:start w:val="1"/>
      <w:numFmt w:val="bullet"/>
      <w:lvlText w:val="o"/>
      <w:lvlJc w:val="left"/>
      <w:pPr>
        <w:ind w:left="1440" w:hanging="360"/>
      </w:pPr>
      <w:rPr>
        <w:rFonts w:hint="default" w:ascii="Courier New" w:hAnsi="Courier New" w:cs="Courier New"/>
        <w:strike w:val="0"/>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color w:val="auto"/>
      </w:rPr>
    </w:lvl>
    <w:lvl w:ilvl="4" w:tentative="0">
      <w:start w:val="1"/>
      <w:numFmt w:val="bullet"/>
      <w:lvlText w:val="o"/>
      <w:lvlJc w:val="left"/>
      <w:pPr>
        <w:ind w:left="3600" w:hanging="360"/>
      </w:pPr>
      <w:rPr>
        <w:rFonts w:hint="default" w:ascii="Courier New" w:hAnsi="Courier New" w:cs="Courier New"/>
        <w:strike w:val="0"/>
        <w:color w:val="auto"/>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0"/>
  </w:num>
  <w:num w:numId="3">
    <w:abstractNumId w:val="8"/>
  </w:num>
  <w:num w:numId="4">
    <w:abstractNumId w:val="7"/>
  </w:num>
  <w:num w:numId="5">
    <w:abstractNumId w:val="5"/>
  </w:num>
  <w:num w:numId="6">
    <w:abstractNumId w:val="1"/>
  </w:num>
  <w:num w:numId="7">
    <w:abstractNumId w:val="2"/>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A15BE"/>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A2F29"/>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00C78"/>
    <w:rsid w:val="00E513DD"/>
    <w:rsid w:val="00E82408"/>
    <w:rsid w:val="00ED7569"/>
    <w:rsid w:val="00ED765C"/>
    <w:rsid w:val="00EF5EE1"/>
    <w:rsid w:val="00F02DFE"/>
    <w:rsid w:val="00F05AB0"/>
    <w:rsid w:val="00F0760F"/>
    <w:rsid w:val="00F33D13"/>
    <w:rsid w:val="00F47D8B"/>
    <w:rsid w:val="00F50B60"/>
    <w:rsid w:val="00F627D0"/>
    <w:rsid w:val="00F841B6"/>
    <w:rsid w:val="00F92EA1"/>
    <w:rsid w:val="00FE674B"/>
    <w:rsid w:val="01041DE1"/>
    <w:rsid w:val="016C5974"/>
    <w:rsid w:val="016E658B"/>
    <w:rsid w:val="01763BCE"/>
    <w:rsid w:val="01840FB9"/>
    <w:rsid w:val="01893B84"/>
    <w:rsid w:val="01A0498E"/>
    <w:rsid w:val="01A574CF"/>
    <w:rsid w:val="01A60C1B"/>
    <w:rsid w:val="01D3030E"/>
    <w:rsid w:val="01DC09D2"/>
    <w:rsid w:val="01E966BF"/>
    <w:rsid w:val="02002EF1"/>
    <w:rsid w:val="02042EE5"/>
    <w:rsid w:val="02395107"/>
    <w:rsid w:val="024029EF"/>
    <w:rsid w:val="028320CF"/>
    <w:rsid w:val="029B08C6"/>
    <w:rsid w:val="02A424C3"/>
    <w:rsid w:val="02B71025"/>
    <w:rsid w:val="02F44A56"/>
    <w:rsid w:val="02FA6D08"/>
    <w:rsid w:val="0300491B"/>
    <w:rsid w:val="030E32B0"/>
    <w:rsid w:val="03190295"/>
    <w:rsid w:val="03280770"/>
    <w:rsid w:val="03874881"/>
    <w:rsid w:val="03877AE8"/>
    <w:rsid w:val="038A1F16"/>
    <w:rsid w:val="04024C95"/>
    <w:rsid w:val="041A101A"/>
    <w:rsid w:val="042E28C7"/>
    <w:rsid w:val="04861CA0"/>
    <w:rsid w:val="049973F4"/>
    <w:rsid w:val="049D4FC2"/>
    <w:rsid w:val="04A12BB9"/>
    <w:rsid w:val="04A37BF0"/>
    <w:rsid w:val="04F25DBA"/>
    <w:rsid w:val="04F46CEE"/>
    <w:rsid w:val="04FD5053"/>
    <w:rsid w:val="05317C81"/>
    <w:rsid w:val="0535282D"/>
    <w:rsid w:val="053C5EF4"/>
    <w:rsid w:val="054134AD"/>
    <w:rsid w:val="05570B15"/>
    <w:rsid w:val="056C27CB"/>
    <w:rsid w:val="0571089C"/>
    <w:rsid w:val="058844D8"/>
    <w:rsid w:val="05A625A8"/>
    <w:rsid w:val="05AD7C3D"/>
    <w:rsid w:val="05B81468"/>
    <w:rsid w:val="05B92B80"/>
    <w:rsid w:val="05CC288F"/>
    <w:rsid w:val="05FB3716"/>
    <w:rsid w:val="061355E6"/>
    <w:rsid w:val="064F5C41"/>
    <w:rsid w:val="067054D9"/>
    <w:rsid w:val="067C1A37"/>
    <w:rsid w:val="069766D8"/>
    <w:rsid w:val="06C73D4E"/>
    <w:rsid w:val="06C7558E"/>
    <w:rsid w:val="06D76F03"/>
    <w:rsid w:val="06DA676D"/>
    <w:rsid w:val="06EA3869"/>
    <w:rsid w:val="06EB297F"/>
    <w:rsid w:val="06F44776"/>
    <w:rsid w:val="070A46CE"/>
    <w:rsid w:val="071830B3"/>
    <w:rsid w:val="07232B13"/>
    <w:rsid w:val="072E12A5"/>
    <w:rsid w:val="072E4FA9"/>
    <w:rsid w:val="07554650"/>
    <w:rsid w:val="075F5104"/>
    <w:rsid w:val="079F7BD5"/>
    <w:rsid w:val="07CC0B7F"/>
    <w:rsid w:val="07E678A9"/>
    <w:rsid w:val="080B0E60"/>
    <w:rsid w:val="08241B14"/>
    <w:rsid w:val="08346E32"/>
    <w:rsid w:val="084F3982"/>
    <w:rsid w:val="08566507"/>
    <w:rsid w:val="0870581B"/>
    <w:rsid w:val="08BD2F14"/>
    <w:rsid w:val="08D80E0C"/>
    <w:rsid w:val="09085B92"/>
    <w:rsid w:val="09143645"/>
    <w:rsid w:val="093223D0"/>
    <w:rsid w:val="09414F75"/>
    <w:rsid w:val="094470AB"/>
    <w:rsid w:val="09524E60"/>
    <w:rsid w:val="09554A11"/>
    <w:rsid w:val="095A6DFD"/>
    <w:rsid w:val="09926330"/>
    <w:rsid w:val="09AD7F7C"/>
    <w:rsid w:val="09B92009"/>
    <w:rsid w:val="09C411E9"/>
    <w:rsid w:val="09D63199"/>
    <w:rsid w:val="09F124DC"/>
    <w:rsid w:val="09F8719E"/>
    <w:rsid w:val="0A0C3321"/>
    <w:rsid w:val="0A0C359D"/>
    <w:rsid w:val="0A103B20"/>
    <w:rsid w:val="0A1469F1"/>
    <w:rsid w:val="0A173D8A"/>
    <w:rsid w:val="0A2E773B"/>
    <w:rsid w:val="0A6E0808"/>
    <w:rsid w:val="0AA35EAE"/>
    <w:rsid w:val="0AA412DD"/>
    <w:rsid w:val="0AAC7074"/>
    <w:rsid w:val="0AB622D1"/>
    <w:rsid w:val="0ADE2342"/>
    <w:rsid w:val="0AE21792"/>
    <w:rsid w:val="0AF33383"/>
    <w:rsid w:val="0AFA4AC7"/>
    <w:rsid w:val="0AFD0EBC"/>
    <w:rsid w:val="0B054A96"/>
    <w:rsid w:val="0B11078A"/>
    <w:rsid w:val="0B1B28B6"/>
    <w:rsid w:val="0B7B639C"/>
    <w:rsid w:val="0B7E67EB"/>
    <w:rsid w:val="0B96175E"/>
    <w:rsid w:val="0BB30DB5"/>
    <w:rsid w:val="0BB81E48"/>
    <w:rsid w:val="0BD639B6"/>
    <w:rsid w:val="0BE427FA"/>
    <w:rsid w:val="0BF550E1"/>
    <w:rsid w:val="0C202296"/>
    <w:rsid w:val="0C415301"/>
    <w:rsid w:val="0C4853AF"/>
    <w:rsid w:val="0C5466CF"/>
    <w:rsid w:val="0C6C1EE0"/>
    <w:rsid w:val="0C6D2AE5"/>
    <w:rsid w:val="0C7F3E15"/>
    <w:rsid w:val="0C8344BF"/>
    <w:rsid w:val="0CA51952"/>
    <w:rsid w:val="0CC05689"/>
    <w:rsid w:val="0CD5224C"/>
    <w:rsid w:val="0CE47224"/>
    <w:rsid w:val="0CED527E"/>
    <w:rsid w:val="0D0D463A"/>
    <w:rsid w:val="0D362C45"/>
    <w:rsid w:val="0D5F0F66"/>
    <w:rsid w:val="0D6C40D7"/>
    <w:rsid w:val="0D711EBE"/>
    <w:rsid w:val="0D771EA7"/>
    <w:rsid w:val="0D8E7D4D"/>
    <w:rsid w:val="0DA728AC"/>
    <w:rsid w:val="0DAD175B"/>
    <w:rsid w:val="0DE11C21"/>
    <w:rsid w:val="0DE14E46"/>
    <w:rsid w:val="0E173F17"/>
    <w:rsid w:val="0E232E17"/>
    <w:rsid w:val="0E3D4FDF"/>
    <w:rsid w:val="0E4A09D7"/>
    <w:rsid w:val="0E554683"/>
    <w:rsid w:val="0E56201A"/>
    <w:rsid w:val="0E6E3C34"/>
    <w:rsid w:val="0EAF327B"/>
    <w:rsid w:val="0ECE6830"/>
    <w:rsid w:val="0F1D748A"/>
    <w:rsid w:val="0F3701CB"/>
    <w:rsid w:val="0F4E079B"/>
    <w:rsid w:val="0F732504"/>
    <w:rsid w:val="0F782620"/>
    <w:rsid w:val="0F8A7784"/>
    <w:rsid w:val="0F8C51E0"/>
    <w:rsid w:val="0FA82F44"/>
    <w:rsid w:val="0FC803F4"/>
    <w:rsid w:val="10090A65"/>
    <w:rsid w:val="1052615E"/>
    <w:rsid w:val="105502AF"/>
    <w:rsid w:val="108B22CD"/>
    <w:rsid w:val="10AC6F3F"/>
    <w:rsid w:val="10C31C47"/>
    <w:rsid w:val="10C64AE7"/>
    <w:rsid w:val="10C761F4"/>
    <w:rsid w:val="10F04644"/>
    <w:rsid w:val="110171B2"/>
    <w:rsid w:val="11171B9A"/>
    <w:rsid w:val="111F30A5"/>
    <w:rsid w:val="11900A86"/>
    <w:rsid w:val="119B1CE5"/>
    <w:rsid w:val="11B90EBA"/>
    <w:rsid w:val="11D44799"/>
    <w:rsid w:val="11D65F4E"/>
    <w:rsid w:val="11E4251C"/>
    <w:rsid w:val="11E53066"/>
    <w:rsid w:val="1236016D"/>
    <w:rsid w:val="123900DB"/>
    <w:rsid w:val="123B6254"/>
    <w:rsid w:val="12587198"/>
    <w:rsid w:val="1271386C"/>
    <w:rsid w:val="1290495A"/>
    <w:rsid w:val="12934DEA"/>
    <w:rsid w:val="12A73823"/>
    <w:rsid w:val="12B04029"/>
    <w:rsid w:val="12BD5E5F"/>
    <w:rsid w:val="12DA4242"/>
    <w:rsid w:val="130A48C3"/>
    <w:rsid w:val="132209C2"/>
    <w:rsid w:val="132303DD"/>
    <w:rsid w:val="1331496D"/>
    <w:rsid w:val="13392934"/>
    <w:rsid w:val="13583AE1"/>
    <w:rsid w:val="1358580E"/>
    <w:rsid w:val="135A6265"/>
    <w:rsid w:val="136A73BB"/>
    <w:rsid w:val="139327D8"/>
    <w:rsid w:val="13A46671"/>
    <w:rsid w:val="13D36FA4"/>
    <w:rsid w:val="13FC7CCB"/>
    <w:rsid w:val="14256000"/>
    <w:rsid w:val="143F0C8B"/>
    <w:rsid w:val="1466786F"/>
    <w:rsid w:val="14964725"/>
    <w:rsid w:val="14A668A4"/>
    <w:rsid w:val="14A9029F"/>
    <w:rsid w:val="14B83431"/>
    <w:rsid w:val="14E836E8"/>
    <w:rsid w:val="14F142C3"/>
    <w:rsid w:val="150B6FBF"/>
    <w:rsid w:val="1511444B"/>
    <w:rsid w:val="15185C1A"/>
    <w:rsid w:val="152B1104"/>
    <w:rsid w:val="15360ADA"/>
    <w:rsid w:val="154A66B0"/>
    <w:rsid w:val="159C7EDD"/>
    <w:rsid w:val="15BE553B"/>
    <w:rsid w:val="15E03E14"/>
    <w:rsid w:val="15E4550B"/>
    <w:rsid w:val="15E9482E"/>
    <w:rsid w:val="161147C5"/>
    <w:rsid w:val="16327956"/>
    <w:rsid w:val="166A7A3B"/>
    <w:rsid w:val="16725680"/>
    <w:rsid w:val="168A3E14"/>
    <w:rsid w:val="168B0BBD"/>
    <w:rsid w:val="16A3322F"/>
    <w:rsid w:val="16C120B7"/>
    <w:rsid w:val="16CD3708"/>
    <w:rsid w:val="16D51B5B"/>
    <w:rsid w:val="16D7712F"/>
    <w:rsid w:val="1725136A"/>
    <w:rsid w:val="174B60F1"/>
    <w:rsid w:val="17916AE6"/>
    <w:rsid w:val="179D12F3"/>
    <w:rsid w:val="17AE49E6"/>
    <w:rsid w:val="17CD5A7B"/>
    <w:rsid w:val="18035F6A"/>
    <w:rsid w:val="184B1F38"/>
    <w:rsid w:val="185C58E1"/>
    <w:rsid w:val="186366A3"/>
    <w:rsid w:val="187A66B9"/>
    <w:rsid w:val="1881324F"/>
    <w:rsid w:val="18A246AF"/>
    <w:rsid w:val="18AC4909"/>
    <w:rsid w:val="18F32680"/>
    <w:rsid w:val="18F80417"/>
    <w:rsid w:val="18FE1274"/>
    <w:rsid w:val="192F165F"/>
    <w:rsid w:val="194C32DF"/>
    <w:rsid w:val="195E3B99"/>
    <w:rsid w:val="196E4FB3"/>
    <w:rsid w:val="19C51AEA"/>
    <w:rsid w:val="19CE1BFF"/>
    <w:rsid w:val="19D951ED"/>
    <w:rsid w:val="1A1C0B7B"/>
    <w:rsid w:val="1A323A0D"/>
    <w:rsid w:val="1A40430B"/>
    <w:rsid w:val="1A4C49E1"/>
    <w:rsid w:val="1A7D140B"/>
    <w:rsid w:val="1A9A126F"/>
    <w:rsid w:val="1AA4601E"/>
    <w:rsid w:val="1ABB3621"/>
    <w:rsid w:val="1ABF7C53"/>
    <w:rsid w:val="1ADE6206"/>
    <w:rsid w:val="1AE7452F"/>
    <w:rsid w:val="1B073464"/>
    <w:rsid w:val="1B176DAE"/>
    <w:rsid w:val="1B5E2B2B"/>
    <w:rsid w:val="1B724BD8"/>
    <w:rsid w:val="1B9E2247"/>
    <w:rsid w:val="1BB22919"/>
    <w:rsid w:val="1BF91505"/>
    <w:rsid w:val="1BFC2067"/>
    <w:rsid w:val="1C064DE2"/>
    <w:rsid w:val="1C263D41"/>
    <w:rsid w:val="1C6673DB"/>
    <w:rsid w:val="1C6A1BB2"/>
    <w:rsid w:val="1C726F5B"/>
    <w:rsid w:val="1C7B60E4"/>
    <w:rsid w:val="1C87732E"/>
    <w:rsid w:val="1CC529AF"/>
    <w:rsid w:val="1CC914E2"/>
    <w:rsid w:val="1CD81789"/>
    <w:rsid w:val="1D010DCC"/>
    <w:rsid w:val="1D031FA5"/>
    <w:rsid w:val="1D1D27D2"/>
    <w:rsid w:val="1D4D1FA4"/>
    <w:rsid w:val="1D700D25"/>
    <w:rsid w:val="1DA1677A"/>
    <w:rsid w:val="1DA90A2F"/>
    <w:rsid w:val="1DB26D48"/>
    <w:rsid w:val="1DC07338"/>
    <w:rsid w:val="1DCD1090"/>
    <w:rsid w:val="1DE35696"/>
    <w:rsid w:val="1DE55E1B"/>
    <w:rsid w:val="1DEA2636"/>
    <w:rsid w:val="1E015BFF"/>
    <w:rsid w:val="1E0717B3"/>
    <w:rsid w:val="1E261FEC"/>
    <w:rsid w:val="1E5D014C"/>
    <w:rsid w:val="1E5E36D4"/>
    <w:rsid w:val="1E625159"/>
    <w:rsid w:val="1E6C052F"/>
    <w:rsid w:val="1E8017FF"/>
    <w:rsid w:val="1E8A1312"/>
    <w:rsid w:val="1EB31B66"/>
    <w:rsid w:val="1EB529F8"/>
    <w:rsid w:val="1EBC2F21"/>
    <w:rsid w:val="1EDA06DF"/>
    <w:rsid w:val="1EE73F05"/>
    <w:rsid w:val="1EF17AB3"/>
    <w:rsid w:val="1EFA50FC"/>
    <w:rsid w:val="1F1E6BD2"/>
    <w:rsid w:val="1F1F4D17"/>
    <w:rsid w:val="1F27275C"/>
    <w:rsid w:val="1F8A3BD5"/>
    <w:rsid w:val="1FE63CE8"/>
    <w:rsid w:val="201646BB"/>
    <w:rsid w:val="20254C14"/>
    <w:rsid w:val="203F22FB"/>
    <w:rsid w:val="205E7BE3"/>
    <w:rsid w:val="207A2C6F"/>
    <w:rsid w:val="208A18F1"/>
    <w:rsid w:val="208D63E6"/>
    <w:rsid w:val="20A506BA"/>
    <w:rsid w:val="20B65FAF"/>
    <w:rsid w:val="20F63843"/>
    <w:rsid w:val="20FE18B0"/>
    <w:rsid w:val="21376EA4"/>
    <w:rsid w:val="21513A3C"/>
    <w:rsid w:val="215A766D"/>
    <w:rsid w:val="21667FDB"/>
    <w:rsid w:val="2193597C"/>
    <w:rsid w:val="219C1508"/>
    <w:rsid w:val="21A86335"/>
    <w:rsid w:val="21FA5606"/>
    <w:rsid w:val="22046DF1"/>
    <w:rsid w:val="22052B11"/>
    <w:rsid w:val="220A4513"/>
    <w:rsid w:val="227C53D9"/>
    <w:rsid w:val="229575D0"/>
    <w:rsid w:val="2297087C"/>
    <w:rsid w:val="22B32E1B"/>
    <w:rsid w:val="22CD6AE0"/>
    <w:rsid w:val="232C553F"/>
    <w:rsid w:val="236906A5"/>
    <w:rsid w:val="2375481A"/>
    <w:rsid w:val="23797368"/>
    <w:rsid w:val="23822B30"/>
    <w:rsid w:val="238241FC"/>
    <w:rsid w:val="23B06B01"/>
    <w:rsid w:val="23B828A0"/>
    <w:rsid w:val="23C250CF"/>
    <w:rsid w:val="23C640E9"/>
    <w:rsid w:val="23EE120B"/>
    <w:rsid w:val="2403705B"/>
    <w:rsid w:val="24110B80"/>
    <w:rsid w:val="24550B03"/>
    <w:rsid w:val="24572D18"/>
    <w:rsid w:val="24930512"/>
    <w:rsid w:val="249D5D77"/>
    <w:rsid w:val="24B445FB"/>
    <w:rsid w:val="24BD6504"/>
    <w:rsid w:val="24C74F14"/>
    <w:rsid w:val="24CF6FCD"/>
    <w:rsid w:val="24D708E2"/>
    <w:rsid w:val="24FB6730"/>
    <w:rsid w:val="251B6F7E"/>
    <w:rsid w:val="252515BC"/>
    <w:rsid w:val="25787665"/>
    <w:rsid w:val="25826443"/>
    <w:rsid w:val="25F5013E"/>
    <w:rsid w:val="262A1C6D"/>
    <w:rsid w:val="262F627F"/>
    <w:rsid w:val="26315BFD"/>
    <w:rsid w:val="264A4407"/>
    <w:rsid w:val="26537397"/>
    <w:rsid w:val="26590269"/>
    <w:rsid w:val="2660154C"/>
    <w:rsid w:val="26A276B5"/>
    <w:rsid w:val="26BA68C7"/>
    <w:rsid w:val="26BB1824"/>
    <w:rsid w:val="26BF5E40"/>
    <w:rsid w:val="26C01EE7"/>
    <w:rsid w:val="26F237CD"/>
    <w:rsid w:val="2719754A"/>
    <w:rsid w:val="271F0DF6"/>
    <w:rsid w:val="2725126B"/>
    <w:rsid w:val="274C2D2B"/>
    <w:rsid w:val="27743E5C"/>
    <w:rsid w:val="2796594E"/>
    <w:rsid w:val="27BC024E"/>
    <w:rsid w:val="27BE3E87"/>
    <w:rsid w:val="27C17045"/>
    <w:rsid w:val="27C35275"/>
    <w:rsid w:val="283167B4"/>
    <w:rsid w:val="28682A73"/>
    <w:rsid w:val="28806895"/>
    <w:rsid w:val="28985F92"/>
    <w:rsid w:val="289D577F"/>
    <w:rsid w:val="28E404D9"/>
    <w:rsid w:val="28F4407D"/>
    <w:rsid w:val="291138C7"/>
    <w:rsid w:val="29120E51"/>
    <w:rsid w:val="292B321E"/>
    <w:rsid w:val="296C4716"/>
    <w:rsid w:val="29733D9F"/>
    <w:rsid w:val="29A61468"/>
    <w:rsid w:val="29BE37C1"/>
    <w:rsid w:val="29CE3CF8"/>
    <w:rsid w:val="2A2A2E8D"/>
    <w:rsid w:val="2A5039D7"/>
    <w:rsid w:val="2A665688"/>
    <w:rsid w:val="2A7D74CC"/>
    <w:rsid w:val="2A7F4563"/>
    <w:rsid w:val="2AA42E13"/>
    <w:rsid w:val="2AB83A4F"/>
    <w:rsid w:val="2AC3696A"/>
    <w:rsid w:val="2ACF09B7"/>
    <w:rsid w:val="2B0C4777"/>
    <w:rsid w:val="2B0F36E3"/>
    <w:rsid w:val="2B3F4C1F"/>
    <w:rsid w:val="2B4D1216"/>
    <w:rsid w:val="2B5215B6"/>
    <w:rsid w:val="2B551B2C"/>
    <w:rsid w:val="2B58393A"/>
    <w:rsid w:val="2B665680"/>
    <w:rsid w:val="2B8030A5"/>
    <w:rsid w:val="2BE06712"/>
    <w:rsid w:val="2BE23A8A"/>
    <w:rsid w:val="2BFA0DD4"/>
    <w:rsid w:val="2C095760"/>
    <w:rsid w:val="2C0D429C"/>
    <w:rsid w:val="2C6E581C"/>
    <w:rsid w:val="2C7A7AA0"/>
    <w:rsid w:val="2CA30589"/>
    <w:rsid w:val="2CE026DB"/>
    <w:rsid w:val="2D146D2C"/>
    <w:rsid w:val="2D155FB3"/>
    <w:rsid w:val="2D362B8B"/>
    <w:rsid w:val="2D3B7B03"/>
    <w:rsid w:val="2D440581"/>
    <w:rsid w:val="2D470656"/>
    <w:rsid w:val="2D493ADC"/>
    <w:rsid w:val="2D493B59"/>
    <w:rsid w:val="2D55451C"/>
    <w:rsid w:val="2D5B158F"/>
    <w:rsid w:val="2D7B5269"/>
    <w:rsid w:val="2DD85F0E"/>
    <w:rsid w:val="2DDB7482"/>
    <w:rsid w:val="2DF144D1"/>
    <w:rsid w:val="2DFB6036"/>
    <w:rsid w:val="2E2A6622"/>
    <w:rsid w:val="2E3472AB"/>
    <w:rsid w:val="2E3D031C"/>
    <w:rsid w:val="2E457026"/>
    <w:rsid w:val="2E84052F"/>
    <w:rsid w:val="2E843EEA"/>
    <w:rsid w:val="2EA86437"/>
    <w:rsid w:val="2EAF5439"/>
    <w:rsid w:val="2EB103B1"/>
    <w:rsid w:val="2EE13F10"/>
    <w:rsid w:val="2F0F71E6"/>
    <w:rsid w:val="2F383A5C"/>
    <w:rsid w:val="2F4559EE"/>
    <w:rsid w:val="2F742945"/>
    <w:rsid w:val="2F880DEC"/>
    <w:rsid w:val="2F9D4B14"/>
    <w:rsid w:val="2FBE43F5"/>
    <w:rsid w:val="2FC53C32"/>
    <w:rsid w:val="2FC55B9D"/>
    <w:rsid w:val="2FD157C7"/>
    <w:rsid w:val="300A115E"/>
    <w:rsid w:val="301241C3"/>
    <w:rsid w:val="30296BB8"/>
    <w:rsid w:val="304D2729"/>
    <w:rsid w:val="30576C24"/>
    <w:rsid w:val="307945DD"/>
    <w:rsid w:val="30851FC0"/>
    <w:rsid w:val="309D4655"/>
    <w:rsid w:val="30C026F3"/>
    <w:rsid w:val="313409D0"/>
    <w:rsid w:val="314A0092"/>
    <w:rsid w:val="315145A6"/>
    <w:rsid w:val="315423FA"/>
    <w:rsid w:val="315B7AEC"/>
    <w:rsid w:val="31710789"/>
    <w:rsid w:val="317503B0"/>
    <w:rsid w:val="31D53C4D"/>
    <w:rsid w:val="31F2254D"/>
    <w:rsid w:val="31F71A11"/>
    <w:rsid w:val="31FE12AB"/>
    <w:rsid w:val="32051CDA"/>
    <w:rsid w:val="3207261B"/>
    <w:rsid w:val="320A1195"/>
    <w:rsid w:val="320E382B"/>
    <w:rsid w:val="321A185A"/>
    <w:rsid w:val="321B4537"/>
    <w:rsid w:val="32513A45"/>
    <w:rsid w:val="325748A5"/>
    <w:rsid w:val="32B50B2C"/>
    <w:rsid w:val="32B819E9"/>
    <w:rsid w:val="32C84DFE"/>
    <w:rsid w:val="32FA3DAF"/>
    <w:rsid w:val="332122CC"/>
    <w:rsid w:val="332D5F33"/>
    <w:rsid w:val="3337740D"/>
    <w:rsid w:val="337F1035"/>
    <w:rsid w:val="33805DA1"/>
    <w:rsid w:val="338C56E4"/>
    <w:rsid w:val="33934B2E"/>
    <w:rsid w:val="339441CF"/>
    <w:rsid w:val="33974050"/>
    <w:rsid w:val="33C37075"/>
    <w:rsid w:val="33F14779"/>
    <w:rsid w:val="34062C68"/>
    <w:rsid w:val="341C738A"/>
    <w:rsid w:val="344D2E50"/>
    <w:rsid w:val="348F0A80"/>
    <w:rsid w:val="34A26022"/>
    <w:rsid w:val="34B0567F"/>
    <w:rsid w:val="34B443F6"/>
    <w:rsid w:val="34E12F4E"/>
    <w:rsid w:val="34EB31AA"/>
    <w:rsid w:val="34EC41DF"/>
    <w:rsid w:val="34F9043A"/>
    <w:rsid w:val="35040A33"/>
    <w:rsid w:val="351A24AD"/>
    <w:rsid w:val="35273121"/>
    <w:rsid w:val="352B733E"/>
    <w:rsid w:val="354554F5"/>
    <w:rsid w:val="354E123E"/>
    <w:rsid w:val="354F2AD2"/>
    <w:rsid w:val="35566C29"/>
    <w:rsid w:val="359652C0"/>
    <w:rsid w:val="35A9661A"/>
    <w:rsid w:val="35AF552A"/>
    <w:rsid w:val="35C36B07"/>
    <w:rsid w:val="35C60438"/>
    <w:rsid w:val="35EB5C31"/>
    <w:rsid w:val="360D6591"/>
    <w:rsid w:val="361E2AEF"/>
    <w:rsid w:val="361F2C5E"/>
    <w:rsid w:val="363976F7"/>
    <w:rsid w:val="36681B72"/>
    <w:rsid w:val="366B38CD"/>
    <w:rsid w:val="366E68DA"/>
    <w:rsid w:val="367C622B"/>
    <w:rsid w:val="36BD137C"/>
    <w:rsid w:val="36E02E58"/>
    <w:rsid w:val="36F84B57"/>
    <w:rsid w:val="3720190B"/>
    <w:rsid w:val="37293C39"/>
    <w:rsid w:val="37391765"/>
    <w:rsid w:val="3751494E"/>
    <w:rsid w:val="375A24EA"/>
    <w:rsid w:val="37757EA8"/>
    <w:rsid w:val="3784494C"/>
    <w:rsid w:val="37BC00E4"/>
    <w:rsid w:val="37C859C7"/>
    <w:rsid w:val="37D62F7A"/>
    <w:rsid w:val="37E40AE8"/>
    <w:rsid w:val="37FF0329"/>
    <w:rsid w:val="3801173C"/>
    <w:rsid w:val="38060F79"/>
    <w:rsid w:val="381A150A"/>
    <w:rsid w:val="38260B47"/>
    <w:rsid w:val="384E5649"/>
    <w:rsid w:val="38746ABC"/>
    <w:rsid w:val="38761BD7"/>
    <w:rsid w:val="3876347B"/>
    <w:rsid w:val="388D15D1"/>
    <w:rsid w:val="38A710B1"/>
    <w:rsid w:val="38AE69D5"/>
    <w:rsid w:val="38FC0060"/>
    <w:rsid w:val="38FC32F5"/>
    <w:rsid w:val="38FD17EE"/>
    <w:rsid w:val="39030A9D"/>
    <w:rsid w:val="39113643"/>
    <w:rsid w:val="392C4597"/>
    <w:rsid w:val="396866FD"/>
    <w:rsid w:val="397E03C2"/>
    <w:rsid w:val="39AF07AB"/>
    <w:rsid w:val="39BB3AC3"/>
    <w:rsid w:val="39D37108"/>
    <w:rsid w:val="39DF043A"/>
    <w:rsid w:val="39FD73E2"/>
    <w:rsid w:val="39FE32B3"/>
    <w:rsid w:val="39FF59A7"/>
    <w:rsid w:val="3A06128C"/>
    <w:rsid w:val="3A070DC0"/>
    <w:rsid w:val="3A2065C7"/>
    <w:rsid w:val="3A213653"/>
    <w:rsid w:val="3A34378D"/>
    <w:rsid w:val="3A36160B"/>
    <w:rsid w:val="3A5B5BB7"/>
    <w:rsid w:val="3A6F51D2"/>
    <w:rsid w:val="3AA50AA5"/>
    <w:rsid w:val="3AAF1E5A"/>
    <w:rsid w:val="3AD23179"/>
    <w:rsid w:val="3AEB3C21"/>
    <w:rsid w:val="3AEF3713"/>
    <w:rsid w:val="3AFB6043"/>
    <w:rsid w:val="3B041E40"/>
    <w:rsid w:val="3B191C47"/>
    <w:rsid w:val="3B205806"/>
    <w:rsid w:val="3B295FAA"/>
    <w:rsid w:val="3B5C6A72"/>
    <w:rsid w:val="3B7F2CAA"/>
    <w:rsid w:val="3BA515C0"/>
    <w:rsid w:val="3BBB6DF8"/>
    <w:rsid w:val="3BBE6635"/>
    <w:rsid w:val="3BC9431F"/>
    <w:rsid w:val="3C02696E"/>
    <w:rsid w:val="3C1A13DF"/>
    <w:rsid w:val="3C3A4FEB"/>
    <w:rsid w:val="3C4F0EBB"/>
    <w:rsid w:val="3C635FA0"/>
    <w:rsid w:val="3C86519C"/>
    <w:rsid w:val="3C8659AE"/>
    <w:rsid w:val="3CA66A58"/>
    <w:rsid w:val="3CBE3C7C"/>
    <w:rsid w:val="3CD165D4"/>
    <w:rsid w:val="3CE16532"/>
    <w:rsid w:val="3CF316DB"/>
    <w:rsid w:val="3D39355A"/>
    <w:rsid w:val="3D3C44DD"/>
    <w:rsid w:val="3D5001A7"/>
    <w:rsid w:val="3D5B3EF0"/>
    <w:rsid w:val="3D5C58DF"/>
    <w:rsid w:val="3D9214B7"/>
    <w:rsid w:val="3DB23DD9"/>
    <w:rsid w:val="3DBB2FF1"/>
    <w:rsid w:val="3DD8335F"/>
    <w:rsid w:val="3DF57F08"/>
    <w:rsid w:val="3E143052"/>
    <w:rsid w:val="3E3363C7"/>
    <w:rsid w:val="3E390C78"/>
    <w:rsid w:val="3E3B7B31"/>
    <w:rsid w:val="3E500D27"/>
    <w:rsid w:val="3E573ADE"/>
    <w:rsid w:val="3E823552"/>
    <w:rsid w:val="3EA55E90"/>
    <w:rsid w:val="3EB2553E"/>
    <w:rsid w:val="3ECD0998"/>
    <w:rsid w:val="3ED508CA"/>
    <w:rsid w:val="3EE61158"/>
    <w:rsid w:val="3F1109BC"/>
    <w:rsid w:val="3F1B7587"/>
    <w:rsid w:val="3F805B16"/>
    <w:rsid w:val="3FA42170"/>
    <w:rsid w:val="3FAF36DB"/>
    <w:rsid w:val="405759DA"/>
    <w:rsid w:val="406A14B3"/>
    <w:rsid w:val="407C15D8"/>
    <w:rsid w:val="409D1B0D"/>
    <w:rsid w:val="40DA4CF0"/>
    <w:rsid w:val="40F97CA8"/>
    <w:rsid w:val="41171B69"/>
    <w:rsid w:val="41415E9E"/>
    <w:rsid w:val="41883A8E"/>
    <w:rsid w:val="418A60B4"/>
    <w:rsid w:val="418C651A"/>
    <w:rsid w:val="41B370D6"/>
    <w:rsid w:val="41CD260F"/>
    <w:rsid w:val="420A6E97"/>
    <w:rsid w:val="420D439A"/>
    <w:rsid w:val="42212582"/>
    <w:rsid w:val="423F0492"/>
    <w:rsid w:val="42625CA5"/>
    <w:rsid w:val="42755843"/>
    <w:rsid w:val="42794CE2"/>
    <w:rsid w:val="428704C4"/>
    <w:rsid w:val="42C70708"/>
    <w:rsid w:val="42E0254C"/>
    <w:rsid w:val="42F40D67"/>
    <w:rsid w:val="43066FF8"/>
    <w:rsid w:val="43146FF6"/>
    <w:rsid w:val="433204F8"/>
    <w:rsid w:val="433B1FA6"/>
    <w:rsid w:val="433C3AAA"/>
    <w:rsid w:val="4345322A"/>
    <w:rsid w:val="43480F05"/>
    <w:rsid w:val="43580CE8"/>
    <w:rsid w:val="43600192"/>
    <w:rsid w:val="436A056E"/>
    <w:rsid w:val="436F06B1"/>
    <w:rsid w:val="436F598B"/>
    <w:rsid w:val="43964A1C"/>
    <w:rsid w:val="439E341B"/>
    <w:rsid w:val="439F359F"/>
    <w:rsid w:val="43E22B61"/>
    <w:rsid w:val="44031DB9"/>
    <w:rsid w:val="440700DA"/>
    <w:rsid w:val="44166A5A"/>
    <w:rsid w:val="44320857"/>
    <w:rsid w:val="446E0159"/>
    <w:rsid w:val="447943E7"/>
    <w:rsid w:val="44B41FCD"/>
    <w:rsid w:val="44F46625"/>
    <w:rsid w:val="44F52628"/>
    <w:rsid w:val="454C191C"/>
    <w:rsid w:val="4556652D"/>
    <w:rsid w:val="458206CE"/>
    <w:rsid w:val="45846DC9"/>
    <w:rsid w:val="45861251"/>
    <w:rsid w:val="459911EE"/>
    <w:rsid w:val="4599227F"/>
    <w:rsid w:val="45A2455E"/>
    <w:rsid w:val="45BE024B"/>
    <w:rsid w:val="45BE2AD4"/>
    <w:rsid w:val="45C2437E"/>
    <w:rsid w:val="45EA2721"/>
    <w:rsid w:val="460A0745"/>
    <w:rsid w:val="46190E27"/>
    <w:rsid w:val="462128E4"/>
    <w:rsid w:val="46300B95"/>
    <w:rsid w:val="463A3C1C"/>
    <w:rsid w:val="46552F9B"/>
    <w:rsid w:val="466E6ADA"/>
    <w:rsid w:val="46911EDD"/>
    <w:rsid w:val="4699240B"/>
    <w:rsid w:val="469E40F2"/>
    <w:rsid w:val="46B7014A"/>
    <w:rsid w:val="46ED5CA5"/>
    <w:rsid w:val="46FE4C6E"/>
    <w:rsid w:val="47062AB6"/>
    <w:rsid w:val="471A6376"/>
    <w:rsid w:val="473230A2"/>
    <w:rsid w:val="474B03EA"/>
    <w:rsid w:val="475A659D"/>
    <w:rsid w:val="476207DA"/>
    <w:rsid w:val="47944B93"/>
    <w:rsid w:val="47AA594C"/>
    <w:rsid w:val="47B14EAE"/>
    <w:rsid w:val="47C00B3A"/>
    <w:rsid w:val="47C04462"/>
    <w:rsid w:val="47C96CD1"/>
    <w:rsid w:val="47D84F8A"/>
    <w:rsid w:val="47DB6ABB"/>
    <w:rsid w:val="48083448"/>
    <w:rsid w:val="48460696"/>
    <w:rsid w:val="48690DD9"/>
    <w:rsid w:val="486B54EB"/>
    <w:rsid w:val="4887121F"/>
    <w:rsid w:val="48F702B1"/>
    <w:rsid w:val="48FB01B3"/>
    <w:rsid w:val="492910E2"/>
    <w:rsid w:val="492E569F"/>
    <w:rsid w:val="494B446A"/>
    <w:rsid w:val="494E1C27"/>
    <w:rsid w:val="494E5D48"/>
    <w:rsid w:val="49A36AB0"/>
    <w:rsid w:val="49A97E85"/>
    <w:rsid w:val="49D2118A"/>
    <w:rsid w:val="49D92DDD"/>
    <w:rsid w:val="49EF5321"/>
    <w:rsid w:val="49FC381D"/>
    <w:rsid w:val="4A266DE0"/>
    <w:rsid w:val="4A2A4C7A"/>
    <w:rsid w:val="4A347F6C"/>
    <w:rsid w:val="4A444508"/>
    <w:rsid w:val="4A456A14"/>
    <w:rsid w:val="4A640FBC"/>
    <w:rsid w:val="4A66451F"/>
    <w:rsid w:val="4A78789E"/>
    <w:rsid w:val="4A88728D"/>
    <w:rsid w:val="4A9D0D79"/>
    <w:rsid w:val="4A9D45B8"/>
    <w:rsid w:val="4A9F545E"/>
    <w:rsid w:val="4AAB056F"/>
    <w:rsid w:val="4AB06D26"/>
    <w:rsid w:val="4B08573B"/>
    <w:rsid w:val="4B626F00"/>
    <w:rsid w:val="4BBD1C23"/>
    <w:rsid w:val="4BC53B5B"/>
    <w:rsid w:val="4BE53FE4"/>
    <w:rsid w:val="4C340FD6"/>
    <w:rsid w:val="4C4D4AF8"/>
    <w:rsid w:val="4C744BB3"/>
    <w:rsid w:val="4C851F32"/>
    <w:rsid w:val="4C964045"/>
    <w:rsid w:val="4C9C7CA8"/>
    <w:rsid w:val="4CA30A9C"/>
    <w:rsid w:val="4CD70E50"/>
    <w:rsid w:val="4CDB65A8"/>
    <w:rsid w:val="4CE2366D"/>
    <w:rsid w:val="4CF51418"/>
    <w:rsid w:val="4D010671"/>
    <w:rsid w:val="4D0526DC"/>
    <w:rsid w:val="4D2812FA"/>
    <w:rsid w:val="4D316B33"/>
    <w:rsid w:val="4D352FBB"/>
    <w:rsid w:val="4D537464"/>
    <w:rsid w:val="4D596D5B"/>
    <w:rsid w:val="4D743D8A"/>
    <w:rsid w:val="4D9549A9"/>
    <w:rsid w:val="4DA96C4E"/>
    <w:rsid w:val="4DF70A62"/>
    <w:rsid w:val="4E0614E3"/>
    <w:rsid w:val="4E116C89"/>
    <w:rsid w:val="4E2452B7"/>
    <w:rsid w:val="4E3F2C74"/>
    <w:rsid w:val="4E695109"/>
    <w:rsid w:val="4E992277"/>
    <w:rsid w:val="4E9C3B92"/>
    <w:rsid w:val="4E9D6524"/>
    <w:rsid w:val="4EAD1AF9"/>
    <w:rsid w:val="4EBB043F"/>
    <w:rsid w:val="4EC73C65"/>
    <w:rsid w:val="4ED713AB"/>
    <w:rsid w:val="4EE23C1E"/>
    <w:rsid w:val="4F1913AC"/>
    <w:rsid w:val="4F4F5A65"/>
    <w:rsid w:val="4F6426A9"/>
    <w:rsid w:val="4F7127A7"/>
    <w:rsid w:val="4F792A76"/>
    <w:rsid w:val="4F7A31F5"/>
    <w:rsid w:val="4F9743B7"/>
    <w:rsid w:val="4FB77179"/>
    <w:rsid w:val="4FB92CDA"/>
    <w:rsid w:val="4FBA6088"/>
    <w:rsid w:val="4FE775A6"/>
    <w:rsid w:val="4FF54231"/>
    <w:rsid w:val="5001585D"/>
    <w:rsid w:val="50077447"/>
    <w:rsid w:val="50092979"/>
    <w:rsid w:val="502F4C40"/>
    <w:rsid w:val="50343739"/>
    <w:rsid w:val="50623802"/>
    <w:rsid w:val="50652E94"/>
    <w:rsid w:val="50665370"/>
    <w:rsid w:val="508700F4"/>
    <w:rsid w:val="50A970CD"/>
    <w:rsid w:val="50C72D83"/>
    <w:rsid w:val="50EC664D"/>
    <w:rsid w:val="50F25C6E"/>
    <w:rsid w:val="51031D50"/>
    <w:rsid w:val="5163596F"/>
    <w:rsid w:val="51642065"/>
    <w:rsid w:val="516F0D03"/>
    <w:rsid w:val="51895F2D"/>
    <w:rsid w:val="51A0460E"/>
    <w:rsid w:val="51A60230"/>
    <w:rsid w:val="51A823AB"/>
    <w:rsid w:val="51CC648B"/>
    <w:rsid w:val="51CF7841"/>
    <w:rsid w:val="51E202B2"/>
    <w:rsid w:val="52030FE6"/>
    <w:rsid w:val="52065DA2"/>
    <w:rsid w:val="522E4D5D"/>
    <w:rsid w:val="524A71B5"/>
    <w:rsid w:val="52642695"/>
    <w:rsid w:val="5279373F"/>
    <w:rsid w:val="528B1069"/>
    <w:rsid w:val="528B691A"/>
    <w:rsid w:val="528D5BD8"/>
    <w:rsid w:val="528F0DD4"/>
    <w:rsid w:val="52930D7F"/>
    <w:rsid w:val="5296438C"/>
    <w:rsid w:val="52AB2578"/>
    <w:rsid w:val="530C3017"/>
    <w:rsid w:val="530F2B4C"/>
    <w:rsid w:val="53144C5A"/>
    <w:rsid w:val="532E36AE"/>
    <w:rsid w:val="534327B1"/>
    <w:rsid w:val="53AE0CB6"/>
    <w:rsid w:val="53D170F4"/>
    <w:rsid w:val="541C5C72"/>
    <w:rsid w:val="543B6BDD"/>
    <w:rsid w:val="544F1C50"/>
    <w:rsid w:val="54606A92"/>
    <w:rsid w:val="54611A81"/>
    <w:rsid w:val="54DC110F"/>
    <w:rsid w:val="55236751"/>
    <w:rsid w:val="55654739"/>
    <w:rsid w:val="557D655D"/>
    <w:rsid w:val="55846FDD"/>
    <w:rsid w:val="558933C3"/>
    <w:rsid w:val="558B119A"/>
    <w:rsid w:val="55B177EA"/>
    <w:rsid w:val="55CD48C4"/>
    <w:rsid w:val="55EA33B8"/>
    <w:rsid w:val="55F34392"/>
    <w:rsid w:val="560C425A"/>
    <w:rsid w:val="56116B32"/>
    <w:rsid w:val="562365CA"/>
    <w:rsid w:val="56266387"/>
    <w:rsid w:val="56340430"/>
    <w:rsid w:val="563F6CB5"/>
    <w:rsid w:val="564B6FA5"/>
    <w:rsid w:val="56581D59"/>
    <w:rsid w:val="568502CA"/>
    <w:rsid w:val="5698486D"/>
    <w:rsid w:val="56A874FB"/>
    <w:rsid w:val="56AA23A1"/>
    <w:rsid w:val="56B0773B"/>
    <w:rsid w:val="56C254B7"/>
    <w:rsid w:val="5709588E"/>
    <w:rsid w:val="571760EF"/>
    <w:rsid w:val="571F7ADE"/>
    <w:rsid w:val="576C2C58"/>
    <w:rsid w:val="57792910"/>
    <w:rsid w:val="5781180D"/>
    <w:rsid w:val="579F0027"/>
    <w:rsid w:val="57C77D46"/>
    <w:rsid w:val="57CE7F2B"/>
    <w:rsid w:val="57CF4F1B"/>
    <w:rsid w:val="57D065BB"/>
    <w:rsid w:val="58201757"/>
    <w:rsid w:val="58404F46"/>
    <w:rsid w:val="584A67BC"/>
    <w:rsid w:val="58514364"/>
    <w:rsid w:val="585818C8"/>
    <w:rsid w:val="585D525A"/>
    <w:rsid w:val="58602168"/>
    <w:rsid w:val="5860738B"/>
    <w:rsid w:val="5865048C"/>
    <w:rsid w:val="58A92235"/>
    <w:rsid w:val="58AB4E89"/>
    <w:rsid w:val="58AD7356"/>
    <w:rsid w:val="58B5550E"/>
    <w:rsid w:val="58BD5C76"/>
    <w:rsid w:val="58C11261"/>
    <w:rsid w:val="58C34E9B"/>
    <w:rsid w:val="58CB74D0"/>
    <w:rsid w:val="58D20175"/>
    <w:rsid w:val="58F92C9F"/>
    <w:rsid w:val="59303772"/>
    <w:rsid w:val="59340E0B"/>
    <w:rsid w:val="59AD7B0E"/>
    <w:rsid w:val="59B31815"/>
    <w:rsid w:val="59D55070"/>
    <w:rsid w:val="59DA18AC"/>
    <w:rsid w:val="59E065B2"/>
    <w:rsid w:val="59E546A4"/>
    <w:rsid w:val="59FD6E5D"/>
    <w:rsid w:val="5A2F5AF5"/>
    <w:rsid w:val="5A4439EB"/>
    <w:rsid w:val="5A637B38"/>
    <w:rsid w:val="5A8D1386"/>
    <w:rsid w:val="5A93303B"/>
    <w:rsid w:val="5AAB12E9"/>
    <w:rsid w:val="5ABB6C3C"/>
    <w:rsid w:val="5AC815C0"/>
    <w:rsid w:val="5ACD77B4"/>
    <w:rsid w:val="5AF95FBA"/>
    <w:rsid w:val="5AFF7905"/>
    <w:rsid w:val="5B086319"/>
    <w:rsid w:val="5B1836AE"/>
    <w:rsid w:val="5B310DAB"/>
    <w:rsid w:val="5B326768"/>
    <w:rsid w:val="5B492C91"/>
    <w:rsid w:val="5B563D3F"/>
    <w:rsid w:val="5B5B4DF1"/>
    <w:rsid w:val="5B5E26D5"/>
    <w:rsid w:val="5B6B15AA"/>
    <w:rsid w:val="5B987BF7"/>
    <w:rsid w:val="5BA23173"/>
    <w:rsid w:val="5BAF6495"/>
    <w:rsid w:val="5BDE2F03"/>
    <w:rsid w:val="5BE9290B"/>
    <w:rsid w:val="5BF25754"/>
    <w:rsid w:val="5C1E13B0"/>
    <w:rsid w:val="5C1E7291"/>
    <w:rsid w:val="5C662A50"/>
    <w:rsid w:val="5C916731"/>
    <w:rsid w:val="5CA620C8"/>
    <w:rsid w:val="5CB35440"/>
    <w:rsid w:val="5CC73DD6"/>
    <w:rsid w:val="5CEA2522"/>
    <w:rsid w:val="5CF2777D"/>
    <w:rsid w:val="5CFF1508"/>
    <w:rsid w:val="5D0D01B7"/>
    <w:rsid w:val="5D2708E3"/>
    <w:rsid w:val="5D664D05"/>
    <w:rsid w:val="5D7C584C"/>
    <w:rsid w:val="5D7F0635"/>
    <w:rsid w:val="5D894E7F"/>
    <w:rsid w:val="5D8D080D"/>
    <w:rsid w:val="5D935CE3"/>
    <w:rsid w:val="5DBF6493"/>
    <w:rsid w:val="5DC05209"/>
    <w:rsid w:val="5DC12605"/>
    <w:rsid w:val="5DD5494D"/>
    <w:rsid w:val="5E06655E"/>
    <w:rsid w:val="5E381A8A"/>
    <w:rsid w:val="5E3A6AA2"/>
    <w:rsid w:val="5E3E4C2D"/>
    <w:rsid w:val="5E5867E1"/>
    <w:rsid w:val="5E674F7E"/>
    <w:rsid w:val="5E874CE8"/>
    <w:rsid w:val="5E9224E3"/>
    <w:rsid w:val="5EA50A24"/>
    <w:rsid w:val="5EB00E5C"/>
    <w:rsid w:val="5ECC354A"/>
    <w:rsid w:val="5ED35331"/>
    <w:rsid w:val="5EE37831"/>
    <w:rsid w:val="5EEB7859"/>
    <w:rsid w:val="5F01547F"/>
    <w:rsid w:val="5F0211D3"/>
    <w:rsid w:val="5F0A3D5F"/>
    <w:rsid w:val="5F213F68"/>
    <w:rsid w:val="5F2F6349"/>
    <w:rsid w:val="5F3D78C5"/>
    <w:rsid w:val="5F600D4E"/>
    <w:rsid w:val="5F7425E5"/>
    <w:rsid w:val="5F7D1608"/>
    <w:rsid w:val="5F8E3078"/>
    <w:rsid w:val="5F956DDF"/>
    <w:rsid w:val="5F991667"/>
    <w:rsid w:val="5F9B1E42"/>
    <w:rsid w:val="5FA416F1"/>
    <w:rsid w:val="5FD93954"/>
    <w:rsid w:val="5FDC55D3"/>
    <w:rsid w:val="5FDE0955"/>
    <w:rsid w:val="5FF469EE"/>
    <w:rsid w:val="5FFB0094"/>
    <w:rsid w:val="60160416"/>
    <w:rsid w:val="60160C5E"/>
    <w:rsid w:val="60305CC7"/>
    <w:rsid w:val="604A1238"/>
    <w:rsid w:val="608D5B2E"/>
    <w:rsid w:val="60A62DBA"/>
    <w:rsid w:val="60BE77C1"/>
    <w:rsid w:val="60C03CCF"/>
    <w:rsid w:val="60C14270"/>
    <w:rsid w:val="60D42D03"/>
    <w:rsid w:val="60E62609"/>
    <w:rsid w:val="60E62C9D"/>
    <w:rsid w:val="611B62E0"/>
    <w:rsid w:val="61381112"/>
    <w:rsid w:val="615E501E"/>
    <w:rsid w:val="6180773A"/>
    <w:rsid w:val="61A06374"/>
    <w:rsid w:val="61CF3DB0"/>
    <w:rsid w:val="622470A5"/>
    <w:rsid w:val="62247F4C"/>
    <w:rsid w:val="622D2FAA"/>
    <w:rsid w:val="625D25EA"/>
    <w:rsid w:val="62857C4E"/>
    <w:rsid w:val="6286607D"/>
    <w:rsid w:val="62A62781"/>
    <w:rsid w:val="62B334AF"/>
    <w:rsid w:val="62E05FC6"/>
    <w:rsid w:val="62EF382A"/>
    <w:rsid w:val="62FD3864"/>
    <w:rsid w:val="63087FBC"/>
    <w:rsid w:val="630F520B"/>
    <w:rsid w:val="63464F7D"/>
    <w:rsid w:val="634B0772"/>
    <w:rsid w:val="636E7A2E"/>
    <w:rsid w:val="63815A2A"/>
    <w:rsid w:val="63BF7E8E"/>
    <w:rsid w:val="63C01CBD"/>
    <w:rsid w:val="63CB0F7F"/>
    <w:rsid w:val="63E32019"/>
    <w:rsid w:val="63FC4F9D"/>
    <w:rsid w:val="6401024A"/>
    <w:rsid w:val="64217A61"/>
    <w:rsid w:val="64233CBB"/>
    <w:rsid w:val="643F3D04"/>
    <w:rsid w:val="644204E6"/>
    <w:rsid w:val="6448326B"/>
    <w:rsid w:val="64635DFB"/>
    <w:rsid w:val="64642CA5"/>
    <w:rsid w:val="64683A23"/>
    <w:rsid w:val="64942A8F"/>
    <w:rsid w:val="64942E6C"/>
    <w:rsid w:val="64AF3910"/>
    <w:rsid w:val="64BC2C9E"/>
    <w:rsid w:val="64C626B7"/>
    <w:rsid w:val="64C62D94"/>
    <w:rsid w:val="65683151"/>
    <w:rsid w:val="658066C4"/>
    <w:rsid w:val="658405F0"/>
    <w:rsid w:val="65912A7B"/>
    <w:rsid w:val="660428AE"/>
    <w:rsid w:val="66091638"/>
    <w:rsid w:val="660D1E09"/>
    <w:rsid w:val="660E4242"/>
    <w:rsid w:val="662519F4"/>
    <w:rsid w:val="66354951"/>
    <w:rsid w:val="66442670"/>
    <w:rsid w:val="666A2C09"/>
    <w:rsid w:val="6679092A"/>
    <w:rsid w:val="669315AD"/>
    <w:rsid w:val="66BA0E07"/>
    <w:rsid w:val="66BA2385"/>
    <w:rsid w:val="66BC293A"/>
    <w:rsid w:val="66DB09CF"/>
    <w:rsid w:val="66E96680"/>
    <w:rsid w:val="66F227B6"/>
    <w:rsid w:val="67237A0F"/>
    <w:rsid w:val="67487CFE"/>
    <w:rsid w:val="67695728"/>
    <w:rsid w:val="677038E2"/>
    <w:rsid w:val="677777A9"/>
    <w:rsid w:val="67B43783"/>
    <w:rsid w:val="67B92A72"/>
    <w:rsid w:val="67D547C2"/>
    <w:rsid w:val="67FA0E09"/>
    <w:rsid w:val="680147C8"/>
    <w:rsid w:val="68075EA1"/>
    <w:rsid w:val="681B5C83"/>
    <w:rsid w:val="68233F9E"/>
    <w:rsid w:val="68277A88"/>
    <w:rsid w:val="686831F8"/>
    <w:rsid w:val="6889198F"/>
    <w:rsid w:val="68922214"/>
    <w:rsid w:val="689340A3"/>
    <w:rsid w:val="68A12E72"/>
    <w:rsid w:val="68DC73EC"/>
    <w:rsid w:val="690309F9"/>
    <w:rsid w:val="69054B5C"/>
    <w:rsid w:val="69112ACB"/>
    <w:rsid w:val="69293200"/>
    <w:rsid w:val="694347AF"/>
    <w:rsid w:val="694F06EB"/>
    <w:rsid w:val="6963607F"/>
    <w:rsid w:val="696403F8"/>
    <w:rsid w:val="69766916"/>
    <w:rsid w:val="698D63CB"/>
    <w:rsid w:val="698F77F4"/>
    <w:rsid w:val="69A20335"/>
    <w:rsid w:val="69B23B9D"/>
    <w:rsid w:val="69BD4C13"/>
    <w:rsid w:val="69E82867"/>
    <w:rsid w:val="69EA1A31"/>
    <w:rsid w:val="6A065327"/>
    <w:rsid w:val="6A086F70"/>
    <w:rsid w:val="6A323DA1"/>
    <w:rsid w:val="6A473411"/>
    <w:rsid w:val="6A540655"/>
    <w:rsid w:val="6A5B510D"/>
    <w:rsid w:val="6A875963"/>
    <w:rsid w:val="6A8D4C80"/>
    <w:rsid w:val="6AA159CB"/>
    <w:rsid w:val="6AA26939"/>
    <w:rsid w:val="6ACB1DCC"/>
    <w:rsid w:val="6AD50437"/>
    <w:rsid w:val="6AE4041A"/>
    <w:rsid w:val="6AEE57CB"/>
    <w:rsid w:val="6AFB18B7"/>
    <w:rsid w:val="6B235CFD"/>
    <w:rsid w:val="6B3030A0"/>
    <w:rsid w:val="6B417EB3"/>
    <w:rsid w:val="6B707214"/>
    <w:rsid w:val="6B781786"/>
    <w:rsid w:val="6B9C69D2"/>
    <w:rsid w:val="6BB104FC"/>
    <w:rsid w:val="6BC7370D"/>
    <w:rsid w:val="6BC75657"/>
    <w:rsid w:val="6BD07E4C"/>
    <w:rsid w:val="6BD126F0"/>
    <w:rsid w:val="6BE1773A"/>
    <w:rsid w:val="6BE35659"/>
    <w:rsid w:val="6C23061A"/>
    <w:rsid w:val="6C253AA6"/>
    <w:rsid w:val="6C2B66F7"/>
    <w:rsid w:val="6C56491E"/>
    <w:rsid w:val="6C5B64F3"/>
    <w:rsid w:val="6CB84F3A"/>
    <w:rsid w:val="6CD40BF2"/>
    <w:rsid w:val="6D05726A"/>
    <w:rsid w:val="6D1F1204"/>
    <w:rsid w:val="6D283CB2"/>
    <w:rsid w:val="6D3974FC"/>
    <w:rsid w:val="6D526817"/>
    <w:rsid w:val="6D673555"/>
    <w:rsid w:val="6D717C1E"/>
    <w:rsid w:val="6D92611A"/>
    <w:rsid w:val="6D981B81"/>
    <w:rsid w:val="6D994274"/>
    <w:rsid w:val="6DB90857"/>
    <w:rsid w:val="6DC267F1"/>
    <w:rsid w:val="6DC8297A"/>
    <w:rsid w:val="6DFB76C0"/>
    <w:rsid w:val="6E032FC6"/>
    <w:rsid w:val="6E083615"/>
    <w:rsid w:val="6E0D26B4"/>
    <w:rsid w:val="6E360FB8"/>
    <w:rsid w:val="6E44084F"/>
    <w:rsid w:val="6E4F3DA5"/>
    <w:rsid w:val="6E6F0BB4"/>
    <w:rsid w:val="6E6F1D57"/>
    <w:rsid w:val="6E7A62E4"/>
    <w:rsid w:val="6E9D2927"/>
    <w:rsid w:val="6EB25B0B"/>
    <w:rsid w:val="6EB80BA0"/>
    <w:rsid w:val="6EB84B4A"/>
    <w:rsid w:val="6ED37D90"/>
    <w:rsid w:val="6F00046B"/>
    <w:rsid w:val="6F065AB6"/>
    <w:rsid w:val="6F154D35"/>
    <w:rsid w:val="6F186262"/>
    <w:rsid w:val="6F3364F9"/>
    <w:rsid w:val="6F441647"/>
    <w:rsid w:val="6F4D0F66"/>
    <w:rsid w:val="6F505503"/>
    <w:rsid w:val="6F57424B"/>
    <w:rsid w:val="6F612830"/>
    <w:rsid w:val="6F9E5543"/>
    <w:rsid w:val="6FD10B10"/>
    <w:rsid w:val="6FDB3D7F"/>
    <w:rsid w:val="6FE61F22"/>
    <w:rsid w:val="6FFD00DA"/>
    <w:rsid w:val="702E686B"/>
    <w:rsid w:val="70352925"/>
    <w:rsid w:val="70505871"/>
    <w:rsid w:val="7059136B"/>
    <w:rsid w:val="706163D8"/>
    <w:rsid w:val="7067165B"/>
    <w:rsid w:val="706B4405"/>
    <w:rsid w:val="707E12D6"/>
    <w:rsid w:val="70801B07"/>
    <w:rsid w:val="709A7A5C"/>
    <w:rsid w:val="70A1406F"/>
    <w:rsid w:val="70AA6593"/>
    <w:rsid w:val="70B0465E"/>
    <w:rsid w:val="70CE3E98"/>
    <w:rsid w:val="70FE623D"/>
    <w:rsid w:val="715B3C2A"/>
    <w:rsid w:val="717A163C"/>
    <w:rsid w:val="71803C89"/>
    <w:rsid w:val="718D6ECB"/>
    <w:rsid w:val="71994E64"/>
    <w:rsid w:val="71CA7676"/>
    <w:rsid w:val="71E05943"/>
    <w:rsid w:val="71E616D5"/>
    <w:rsid w:val="71EA7695"/>
    <w:rsid w:val="71EE7FB9"/>
    <w:rsid w:val="72263DC5"/>
    <w:rsid w:val="72536FDC"/>
    <w:rsid w:val="726054D6"/>
    <w:rsid w:val="72697CC3"/>
    <w:rsid w:val="727D4545"/>
    <w:rsid w:val="727D75DF"/>
    <w:rsid w:val="72BB74DD"/>
    <w:rsid w:val="72D36E77"/>
    <w:rsid w:val="72DD2BAD"/>
    <w:rsid w:val="72E04ACF"/>
    <w:rsid w:val="72FB66FD"/>
    <w:rsid w:val="73106242"/>
    <w:rsid w:val="731A5C10"/>
    <w:rsid w:val="732872C5"/>
    <w:rsid w:val="7360086A"/>
    <w:rsid w:val="739A0DC0"/>
    <w:rsid w:val="73B920B2"/>
    <w:rsid w:val="74085669"/>
    <w:rsid w:val="740A4EF9"/>
    <w:rsid w:val="742A2B73"/>
    <w:rsid w:val="743C5C12"/>
    <w:rsid w:val="74412921"/>
    <w:rsid w:val="745744B6"/>
    <w:rsid w:val="7475710D"/>
    <w:rsid w:val="747621BD"/>
    <w:rsid w:val="74A71E5E"/>
    <w:rsid w:val="75061B64"/>
    <w:rsid w:val="75086A21"/>
    <w:rsid w:val="750B356A"/>
    <w:rsid w:val="750C4DDC"/>
    <w:rsid w:val="7510569F"/>
    <w:rsid w:val="756950CA"/>
    <w:rsid w:val="75922EAF"/>
    <w:rsid w:val="75AD28A1"/>
    <w:rsid w:val="75C224B9"/>
    <w:rsid w:val="75FB7A70"/>
    <w:rsid w:val="76013E56"/>
    <w:rsid w:val="760A7D9D"/>
    <w:rsid w:val="76335855"/>
    <w:rsid w:val="763E51CC"/>
    <w:rsid w:val="76465F91"/>
    <w:rsid w:val="766026E6"/>
    <w:rsid w:val="76B770A6"/>
    <w:rsid w:val="76CE7275"/>
    <w:rsid w:val="76E4362B"/>
    <w:rsid w:val="76EF6628"/>
    <w:rsid w:val="770A1659"/>
    <w:rsid w:val="7712242B"/>
    <w:rsid w:val="771F60E4"/>
    <w:rsid w:val="77231D40"/>
    <w:rsid w:val="773A7A8E"/>
    <w:rsid w:val="77825F67"/>
    <w:rsid w:val="77B91A42"/>
    <w:rsid w:val="77C5780E"/>
    <w:rsid w:val="77EB305A"/>
    <w:rsid w:val="782F327E"/>
    <w:rsid w:val="78397A32"/>
    <w:rsid w:val="78A06277"/>
    <w:rsid w:val="78A91184"/>
    <w:rsid w:val="78C64F8E"/>
    <w:rsid w:val="791A1EB8"/>
    <w:rsid w:val="791E4FA3"/>
    <w:rsid w:val="797167CA"/>
    <w:rsid w:val="798E4E1E"/>
    <w:rsid w:val="799E2AB3"/>
    <w:rsid w:val="79A37A59"/>
    <w:rsid w:val="79C61A14"/>
    <w:rsid w:val="79C85435"/>
    <w:rsid w:val="79D16AD3"/>
    <w:rsid w:val="79EE5B89"/>
    <w:rsid w:val="79F05A1B"/>
    <w:rsid w:val="7A020CA3"/>
    <w:rsid w:val="7A067805"/>
    <w:rsid w:val="7A181B27"/>
    <w:rsid w:val="7A496479"/>
    <w:rsid w:val="7AA408FA"/>
    <w:rsid w:val="7AC34D04"/>
    <w:rsid w:val="7AD60288"/>
    <w:rsid w:val="7B123707"/>
    <w:rsid w:val="7B236D19"/>
    <w:rsid w:val="7B307625"/>
    <w:rsid w:val="7B347CEC"/>
    <w:rsid w:val="7B576B4E"/>
    <w:rsid w:val="7B761608"/>
    <w:rsid w:val="7B87133C"/>
    <w:rsid w:val="7BBF721F"/>
    <w:rsid w:val="7C105077"/>
    <w:rsid w:val="7C416F95"/>
    <w:rsid w:val="7C4170FF"/>
    <w:rsid w:val="7C4E5B9F"/>
    <w:rsid w:val="7C580760"/>
    <w:rsid w:val="7C8B3404"/>
    <w:rsid w:val="7C8D6ADA"/>
    <w:rsid w:val="7C9C47E0"/>
    <w:rsid w:val="7C9E070C"/>
    <w:rsid w:val="7CBB152F"/>
    <w:rsid w:val="7CF64F02"/>
    <w:rsid w:val="7D030EE0"/>
    <w:rsid w:val="7D1771BF"/>
    <w:rsid w:val="7D2C343C"/>
    <w:rsid w:val="7D4C3183"/>
    <w:rsid w:val="7D9314F6"/>
    <w:rsid w:val="7D99109C"/>
    <w:rsid w:val="7D9C06C0"/>
    <w:rsid w:val="7DAB4741"/>
    <w:rsid w:val="7DBE5AB2"/>
    <w:rsid w:val="7DDB441F"/>
    <w:rsid w:val="7E077DCE"/>
    <w:rsid w:val="7E4B1AB3"/>
    <w:rsid w:val="7E58216F"/>
    <w:rsid w:val="7E58478A"/>
    <w:rsid w:val="7E70415D"/>
    <w:rsid w:val="7E7F1745"/>
    <w:rsid w:val="7E886BD8"/>
    <w:rsid w:val="7E922F1E"/>
    <w:rsid w:val="7E9C1A45"/>
    <w:rsid w:val="7EEF7176"/>
    <w:rsid w:val="7F356E88"/>
    <w:rsid w:val="7F5D7752"/>
    <w:rsid w:val="7F7777D2"/>
    <w:rsid w:val="7F7A668F"/>
    <w:rsid w:val="7F7C1BAA"/>
    <w:rsid w:val="7F7D2AB8"/>
    <w:rsid w:val="7F817243"/>
    <w:rsid w:val="7F91228D"/>
    <w:rsid w:val="7F980D98"/>
    <w:rsid w:val="7FAF30F2"/>
    <w:rsid w:val="7FB528C3"/>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NO"/>
    <w:basedOn w:val="1"/>
    <w:autoRedefine/>
    <w:qFormat/>
    <w:uiPriority w:val="0"/>
    <w:pPr>
      <w:keepLines/>
      <w:ind w:left="1135" w:hanging="851"/>
    </w:pPr>
  </w:style>
  <w:style w:type="paragraph" w:customStyle="1" w:styleId="38">
    <w:name w:val="Doc-comment"/>
    <w:basedOn w:val="1"/>
    <w:next w:val="25"/>
    <w:autoRedefine/>
    <w:qFormat/>
    <w:uiPriority w:val="0"/>
    <w:pPr>
      <w:tabs>
        <w:tab w:val="left" w:pos="1622"/>
      </w:tabs>
      <w:spacing w:before="0"/>
      <w:ind w:left="1622" w:hanging="363"/>
    </w:pPr>
    <w:rPr>
      <w:i/>
    </w:rPr>
  </w:style>
  <w:style w:type="paragraph" w:customStyle="1" w:styleId="39">
    <w:name w:val="B3"/>
    <w:basedOn w:val="1"/>
    <w:autoRedefine/>
    <w:qFormat/>
    <w:uiPriority w:val="0"/>
    <w:pPr>
      <w:ind w:left="1135" w:hanging="284"/>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1804</Words>
  <Characters>10304</Characters>
  <Lines>49</Lines>
  <Paragraphs>13</Paragraphs>
  <TotalTime>0</TotalTime>
  <ScaleCrop>false</ScaleCrop>
  <LinksUpToDate>false</LinksUpToDate>
  <CharactersWithSpaces>12083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2025-02-07T03:12:59Z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BBD27BAE9C594A29B07A91C603D6E21A_13</vt:lpwstr>
  </property>
  <property fmtid="{D5CDD505-2E9C-101B-9397-08002B2CF9AE}" pid="4" name="KSOTemplateDocerSaveRecord">
    <vt:lpwstr>eyJoZGlkIjoiMzEwNTM5NzYwMDRjMzkwZTVkZjY2ODkwMGIxNGU0OTUiLCJ1c2VySWQiOiI1MDQ0ODU3MTMifQ==</vt:lpwstr>
  </property>
</Properties>
</file>